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5C6BF">
      <w:pPr>
        <w:jc w:val="both"/>
        <w:rPr>
          <w:rFonts w:hint="default" w:ascii="方正小标宋简体" w:eastAsia="方正小标宋简体"/>
          <w:sz w:val="32"/>
          <w:szCs w:val="32"/>
          <w:lang w:val="en-US" w:eastAsia="zh-CN"/>
        </w:rPr>
      </w:pPr>
      <w:bookmarkStart w:id="1" w:name="_GoBack"/>
      <w:bookmarkEnd w:id="1"/>
      <w:r>
        <w:rPr>
          <w:rFonts w:hint="eastAsia" w:ascii="方正小标宋简体" w:eastAsia="方正小标宋简体"/>
          <w:sz w:val="32"/>
          <w:szCs w:val="32"/>
          <w:lang w:eastAsia="zh-CN"/>
        </w:rPr>
        <w:t>附件</w:t>
      </w:r>
      <w:r>
        <w:rPr>
          <w:rFonts w:hint="eastAsia" w:ascii="方正小标宋简体" w:eastAsia="方正小标宋简体"/>
          <w:sz w:val="32"/>
          <w:szCs w:val="32"/>
          <w:lang w:val="en-US" w:eastAsia="zh-CN"/>
        </w:rPr>
        <w:t>2</w:t>
      </w:r>
    </w:p>
    <w:p w14:paraId="6F0165E7">
      <w:pPr>
        <w:jc w:val="center"/>
        <w:rPr>
          <w:rFonts w:hint="eastAsia"/>
        </w:rPr>
      </w:pPr>
      <w:r>
        <w:rPr>
          <w:rFonts w:hint="eastAsia" w:ascii="方正小标宋简体" w:eastAsia="方正小标宋简体"/>
          <w:sz w:val="48"/>
          <w:szCs w:val="48"/>
          <w:lang w:eastAsia="zh-CN"/>
        </w:rPr>
        <w:t>服务类</w:t>
      </w:r>
      <w:r>
        <w:rPr>
          <w:rFonts w:hint="eastAsia" w:ascii="方正小标宋简体" w:eastAsia="方正小标宋简体"/>
          <w:sz w:val="48"/>
          <w:szCs w:val="48"/>
          <w:lang w:val="en-US" w:eastAsia="zh-CN"/>
        </w:rPr>
        <w:t>合肥大学二级学院</w:t>
      </w:r>
      <w:r>
        <w:rPr>
          <w:rFonts w:hint="eastAsia" w:ascii="方正小标宋简体" w:eastAsia="方正小标宋简体"/>
          <w:sz w:val="48"/>
          <w:szCs w:val="48"/>
          <w:lang w:eastAsia="zh-CN"/>
        </w:rPr>
        <w:t>采购</w:t>
      </w:r>
      <w:r>
        <w:rPr>
          <w:rFonts w:hint="eastAsia" w:ascii="方正小标宋简体" w:eastAsia="方正小标宋简体"/>
          <w:sz w:val="48"/>
          <w:szCs w:val="48"/>
        </w:rPr>
        <w:t>需求表</w:t>
      </w:r>
    </w:p>
    <w:tbl>
      <w:tblPr>
        <w:tblStyle w:val="8"/>
        <w:tblW w:w="54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7116"/>
      </w:tblGrid>
      <w:tr w14:paraId="6E3B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82" w:type="pct"/>
            <w:noWrap w:val="0"/>
            <w:vAlign w:val="center"/>
          </w:tcPr>
          <w:p w14:paraId="133F71AA">
            <w:pPr>
              <w:jc w:val="center"/>
              <w:rPr>
                <w:rFonts w:hint="eastAsia" w:ascii="宋体" w:hAnsi="宋体"/>
                <w:b/>
                <w:sz w:val="24"/>
              </w:rPr>
            </w:pPr>
            <w:r>
              <w:rPr>
                <w:rFonts w:hint="eastAsia" w:ascii="宋体" w:hAnsi="宋体"/>
                <w:b/>
                <w:sz w:val="24"/>
              </w:rPr>
              <w:t>项目名称</w:t>
            </w:r>
          </w:p>
        </w:tc>
        <w:tc>
          <w:tcPr>
            <w:tcW w:w="3817" w:type="pct"/>
            <w:noWrap w:val="0"/>
            <w:vAlign w:val="center"/>
          </w:tcPr>
          <w:p w14:paraId="1713E7CD">
            <w:pPr>
              <w:autoSpaceDE w:val="0"/>
              <w:autoSpaceDN w:val="0"/>
              <w:adjustRightInd w:val="0"/>
              <w:spacing w:line="360" w:lineRule="auto"/>
              <w:jc w:val="left"/>
              <w:rPr>
                <w:rFonts w:hint="eastAsia" w:ascii="宋体" w:hAnsi="宋体" w:cs="Times New Roman"/>
                <w:sz w:val="24"/>
                <w:szCs w:val="24"/>
              </w:rPr>
            </w:pPr>
            <w:r>
              <w:rPr>
                <w:rFonts w:hint="eastAsia" w:ascii="宋体" w:hAnsi="宋体" w:cs="Times New Roman"/>
                <w:sz w:val="24"/>
                <w:szCs w:val="24"/>
                <w:lang w:val="en-US" w:eastAsia="zh-CN"/>
              </w:rPr>
              <w:t>《财政学》智慧课程建设服务项目</w:t>
            </w:r>
          </w:p>
        </w:tc>
      </w:tr>
      <w:tr w14:paraId="3555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365EF708">
            <w:pPr>
              <w:spacing w:line="360" w:lineRule="auto"/>
              <w:jc w:val="center"/>
              <w:rPr>
                <w:rFonts w:ascii="宋体" w:hAnsi="宋体"/>
                <w:b/>
                <w:sz w:val="24"/>
                <w:szCs w:val="24"/>
              </w:rPr>
            </w:pPr>
            <w:r>
              <w:rPr>
                <w:rFonts w:hint="eastAsia" w:ascii="宋体" w:hAnsi="宋体"/>
                <w:b/>
                <w:sz w:val="24"/>
                <w:szCs w:val="24"/>
              </w:rPr>
              <w:t>采购单位联系人</w:t>
            </w:r>
          </w:p>
          <w:p w14:paraId="7C7955FE">
            <w:pPr>
              <w:spacing w:line="360" w:lineRule="auto"/>
              <w:jc w:val="center"/>
              <w:rPr>
                <w:rFonts w:hint="eastAsia" w:ascii="宋体" w:hAnsi="宋体"/>
                <w:b/>
                <w:sz w:val="24"/>
              </w:rPr>
            </w:pPr>
            <w:r>
              <w:rPr>
                <w:rFonts w:hint="eastAsia" w:ascii="宋体" w:hAnsi="宋体"/>
                <w:b/>
                <w:sz w:val="24"/>
                <w:szCs w:val="24"/>
              </w:rPr>
              <w:t>及电话</w:t>
            </w:r>
          </w:p>
        </w:tc>
        <w:tc>
          <w:tcPr>
            <w:tcW w:w="3817" w:type="pct"/>
            <w:noWrap w:val="0"/>
            <w:vAlign w:val="center"/>
          </w:tcPr>
          <w:p w14:paraId="3C0AC88E">
            <w:pPr>
              <w:autoSpaceDE w:val="0"/>
              <w:autoSpaceDN w:val="0"/>
              <w:adjustRightInd w:val="0"/>
              <w:spacing w:line="360" w:lineRule="auto"/>
              <w:jc w:val="left"/>
              <w:rPr>
                <w:rFonts w:hint="eastAsia" w:ascii="宋体" w:hAnsi="宋体"/>
                <w:sz w:val="24"/>
                <w:lang w:val="en-US" w:eastAsia="zh-CN"/>
              </w:rPr>
            </w:pPr>
            <w:r>
              <w:rPr>
                <w:rFonts w:hint="eastAsia" w:ascii="宋体" w:hAnsi="宋体"/>
                <w:sz w:val="24"/>
                <w:lang w:val="en-US" w:eastAsia="zh-CN"/>
              </w:rPr>
              <w:t>郑飞鸿</w:t>
            </w:r>
          </w:p>
          <w:p w14:paraId="40489E1E">
            <w:pPr>
              <w:autoSpaceDE w:val="0"/>
              <w:autoSpaceDN w:val="0"/>
              <w:adjustRightInd w:val="0"/>
              <w:spacing w:line="360" w:lineRule="auto"/>
              <w:jc w:val="left"/>
              <w:rPr>
                <w:rFonts w:hint="default"/>
                <w:lang w:val="en-US" w:eastAsia="zh-CN"/>
              </w:rPr>
            </w:pPr>
            <w:r>
              <w:rPr>
                <w:rFonts w:hint="eastAsia" w:ascii="宋体" w:hAnsi="宋体"/>
                <w:sz w:val="24"/>
                <w:lang w:val="en-US" w:eastAsia="zh-CN"/>
              </w:rPr>
              <w:t>0551-62159097</w:t>
            </w:r>
          </w:p>
        </w:tc>
      </w:tr>
      <w:tr w14:paraId="4519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53137C2E">
            <w:pPr>
              <w:spacing w:line="360" w:lineRule="auto"/>
              <w:jc w:val="center"/>
              <w:rPr>
                <w:rFonts w:hint="eastAsia" w:ascii="宋体" w:hAnsi="宋体"/>
                <w:b/>
                <w:sz w:val="24"/>
              </w:rPr>
            </w:pPr>
            <w:r>
              <w:rPr>
                <w:rFonts w:hint="eastAsia" w:ascii="宋体" w:hAnsi="宋体"/>
                <w:b/>
                <w:sz w:val="24"/>
                <w:szCs w:val="24"/>
              </w:rPr>
              <w:t>项目预算</w:t>
            </w:r>
          </w:p>
        </w:tc>
        <w:tc>
          <w:tcPr>
            <w:tcW w:w="3817" w:type="pct"/>
            <w:noWrap w:val="0"/>
            <w:vAlign w:val="center"/>
          </w:tcPr>
          <w:p w14:paraId="6F0FFE69">
            <w:pPr>
              <w:autoSpaceDE w:val="0"/>
              <w:autoSpaceDN w:val="0"/>
              <w:adjustRightInd w:val="0"/>
              <w:spacing w:line="360" w:lineRule="auto"/>
              <w:jc w:val="left"/>
              <w:rPr>
                <w:rFonts w:hint="eastAsia" w:ascii="宋体" w:hAnsi="宋体"/>
                <w:sz w:val="24"/>
              </w:rPr>
            </w:pPr>
            <w:r>
              <w:rPr>
                <w:rFonts w:hint="eastAsia" w:ascii="宋体" w:hAnsi="宋体"/>
                <w:sz w:val="24"/>
                <w:szCs w:val="24"/>
              </w:rPr>
              <w:t>不分包项目</w:t>
            </w:r>
            <w:r>
              <w:rPr>
                <w:rFonts w:ascii="宋体" w:hAnsi="宋体"/>
                <w:sz w:val="24"/>
                <w:szCs w:val="24"/>
              </w:rPr>
              <w:t>：</w:t>
            </w:r>
            <w:r>
              <w:rPr>
                <w:rFonts w:hint="eastAsia" w:ascii="宋体" w:hAnsi="宋体"/>
                <w:sz w:val="24"/>
                <w:szCs w:val="24"/>
                <w:lang w:val="en-US" w:eastAsia="zh-CN"/>
              </w:rPr>
              <w:t>5</w:t>
            </w:r>
            <w:r>
              <w:rPr>
                <w:rFonts w:hint="eastAsia" w:ascii="宋体" w:hAnsi="宋体"/>
                <w:sz w:val="24"/>
                <w:szCs w:val="24"/>
              </w:rPr>
              <w:t>万元</w:t>
            </w:r>
          </w:p>
        </w:tc>
      </w:tr>
      <w:tr w14:paraId="4753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4197F74B">
            <w:pPr>
              <w:spacing w:line="360" w:lineRule="auto"/>
              <w:jc w:val="center"/>
              <w:rPr>
                <w:rFonts w:hint="eastAsia" w:ascii="宋体" w:hAnsi="宋体"/>
                <w:b/>
                <w:sz w:val="24"/>
              </w:rPr>
            </w:pPr>
            <w:r>
              <w:rPr>
                <w:rFonts w:hint="eastAsia" w:ascii="宋体" w:hAnsi="宋体"/>
                <w:b/>
                <w:sz w:val="24"/>
                <w:szCs w:val="24"/>
              </w:rPr>
              <w:t>项目概况</w:t>
            </w:r>
          </w:p>
        </w:tc>
        <w:tc>
          <w:tcPr>
            <w:tcW w:w="3817" w:type="pct"/>
            <w:noWrap w:val="0"/>
            <w:vAlign w:val="center"/>
          </w:tcPr>
          <w:p w14:paraId="1768996D">
            <w:pPr>
              <w:autoSpaceDE w:val="0"/>
              <w:autoSpaceDN w:val="0"/>
              <w:adjustRightInd w:val="0"/>
              <w:spacing w:line="360" w:lineRule="auto"/>
              <w:jc w:val="left"/>
              <w:rPr>
                <w:rFonts w:hint="eastAsia" w:ascii="宋体" w:hAnsi="宋体"/>
                <w:sz w:val="24"/>
                <w:u w:val="single"/>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《财政学》</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tc>
      </w:tr>
      <w:tr w14:paraId="2C50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7A561B1F">
            <w:pPr>
              <w:spacing w:line="360" w:lineRule="auto"/>
              <w:jc w:val="center"/>
              <w:rPr>
                <w:rFonts w:hint="eastAsia" w:ascii="宋体" w:hAnsi="宋体"/>
                <w:b/>
                <w:sz w:val="24"/>
              </w:rPr>
            </w:pPr>
            <w:r>
              <w:rPr>
                <w:rFonts w:hint="eastAsia" w:ascii="宋体" w:hAnsi="宋体"/>
                <w:b/>
                <w:sz w:val="24"/>
                <w:szCs w:val="24"/>
              </w:rPr>
              <w:t>采购方式</w:t>
            </w:r>
          </w:p>
        </w:tc>
        <w:tc>
          <w:tcPr>
            <w:tcW w:w="3817" w:type="pct"/>
            <w:noWrap w:val="0"/>
            <w:vAlign w:val="center"/>
          </w:tcPr>
          <w:p w14:paraId="6458F493">
            <w:pPr>
              <w:autoSpaceDE w:val="0"/>
              <w:autoSpaceDN w:val="0"/>
              <w:adjustRightInd w:val="0"/>
              <w:spacing w:line="360" w:lineRule="auto"/>
              <w:jc w:val="left"/>
              <w:rPr>
                <w:rFonts w:hint="eastAsia"/>
                <w:lang w:val="en-US" w:eastAsia="zh-CN"/>
              </w:rPr>
            </w:pPr>
            <w:r>
              <w:rPr>
                <w:rFonts w:hint="eastAsia" w:ascii="宋体" w:hAnsi="宋体"/>
                <w:sz w:val="24"/>
                <w:szCs w:val="24"/>
                <w:lang w:val="en-US" w:eastAsia="zh-CN"/>
              </w:rPr>
              <w:t>比价</w:t>
            </w:r>
          </w:p>
        </w:tc>
      </w:tr>
      <w:tr w14:paraId="3E41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182" w:type="pct"/>
            <w:noWrap w:val="0"/>
            <w:vAlign w:val="center"/>
          </w:tcPr>
          <w:p w14:paraId="6E99E5E8">
            <w:pPr>
              <w:spacing w:line="360" w:lineRule="auto"/>
              <w:jc w:val="center"/>
              <w:rPr>
                <w:rFonts w:ascii="宋体" w:hAnsi="宋体"/>
                <w:b/>
                <w:sz w:val="24"/>
              </w:rPr>
            </w:pPr>
            <w:r>
              <w:rPr>
                <w:rFonts w:hint="eastAsia" w:ascii="宋体" w:hAnsi="宋体"/>
                <w:b/>
                <w:sz w:val="24"/>
                <w:szCs w:val="24"/>
              </w:rPr>
              <w:t>本项目是否接受联合体投标</w:t>
            </w:r>
          </w:p>
        </w:tc>
        <w:tc>
          <w:tcPr>
            <w:tcW w:w="3817" w:type="pct"/>
            <w:noWrap w:val="0"/>
            <w:vAlign w:val="center"/>
          </w:tcPr>
          <w:p w14:paraId="1A0CB061">
            <w:pPr>
              <w:autoSpaceDE w:val="0"/>
              <w:autoSpaceDN w:val="0"/>
              <w:adjustRightInd w:val="0"/>
              <w:spacing w:line="360" w:lineRule="auto"/>
              <w:rPr>
                <w:rFonts w:hint="eastAsia" w:ascii="宋体" w:hAnsi="宋体"/>
                <w:sz w:val="24"/>
              </w:rPr>
            </w:pPr>
            <w:r>
              <w:rPr>
                <w:rFonts w:hint="eastAsia" w:ascii="宋体" w:hAnsi="宋体"/>
                <w:sz w:val="24"/>
                <w:szCs w:val="24"/>
              </w:rPr>
              <w:t>否</w:t>
            </w:r>
          </w:p>
        </w:tc>
      </w:tr>
      <w:tr w14:paraId="6AF3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9" w:hRule="atLeast"/>
          <w:jc w:val="center"/>
        </w:trPr>
        <w:tc>
          <w:tcPr>
            <w:tcW w:w="1182" w:type="pct"/>
            <w:noWrap w:val="0"/>
            <w:vAlign w:val="center"/>
          </w:tcPr>
          <w:p w14:paraId="5926D0D0">
            <w:pPr>
              <w:jc w:val="center"/>
              <w:rPr>
                <w:rFonts w:hint="eastAsia" w:ascii="宋体" w:hAnsi="宋体"/>
                <w:b/>
                <w:sz w:val="24"/>
              </w:rPr>
            </w:pPr>
            <w:r>
              <w:rPr>
                <w:rFonts w:hint="eastAsia" w:ascii="宋体" w:hAnsi="宋体"/>
                <w:b/>
                <w:sz w:val="24"/>
              </w:rPr>
              <w:t>投标人资格要求</w:t>
            </w:r>
          </w:p>
        </w:tc>
        <w:tc>
          <w:tcPr>
            <w:tcW w:w="3817" w:type="pct"/>
            <w:noWrap w:val="0"/>
            <w:vAlign w:val="center"/>
          </w:tcPr>
          <w:p w14:paraId="534A5C59">
            <w:pPr>
              <w:spacing w:line="360" w:lineRule="auto"/>
              <w:rPr>
                <w:rFonts w:hint="eastAsia" w:ascii="宋体" w:hAnsi="宋体" w:cs="宋体"/>
                <w:sz w:val="24"/>
                <w:szCs w:val="24"/>
              </w:rPr>
            </w:pPr>
            <w:r>
              <w:rPr>
                <w:rFonts w:hint="eastAsia" w:ascii="宋体" w:hAnsi="宋体" w:cs="宋体"/>
                <w:sz w:val="24"/>
                <w:szCs w:val="24"/>
              </w:rPr>
              <w:t>1.满足《中华人民共和国政府采购法》第二十二条规定；</w:t>
            </w:r>
          </w:p>
          <w:p w14:paraId="6B217AD7">
            <w:pPr>
              <w:spacing w:line="360" w:lineRule="auto"/>
              <w:rPr>
                <w:rFonts w:hint="eastAsia" w:ascii="宋体" w:hAnsi="宋体" w:cs="宋体"/>
                <w:i w:val="0"/>
                <w:iCs w:val="0"/>
                <w:sz w:val="24"/>
                <w:szCs w:val="24"/>
              </w:rPr>
            </w:pPr>
            <w:r>
              <w:rPr>
                <w:rFonts w:hint="eastAsia" w:ascii="宋体" w:hAnsi="宋体" w:cs="宋体"/>
                <w:sz w:val="24"/>
                <w:szCs w:val="24"/>
              </w:rPr>
              <w:t>2.落实政府采购政策需</w:t>
            </w:r>
            <w:r>
              <w:rPr>
                <w:rFonts w:hint="eastAsia" w:ascii="宋体" w:hAnsi="宋体" w:cs="宋体"/>
                <w:i w:val="0"/>
                <w:iCs w:val="0"/>
                <w:sz w:val="24"/>
                <w:szCs w:val="24"/>
              </w:rPr>
              <w:t>满足的资格要求：</w:t>
            </w:r>
            <w:r>
              <w:rPr>
                <w:rFonts w:hint="eastAsia" w:ascii="宋体" w:hAnsi="宋体" w:cs="宋体"/>
                <w:i w:val="0"/>
                <w:iCs w:val="0"/>
                <w:sz w:val="24"/>
                <w:szCs w:val="24"/>
                <w:u w:val="single"/>
              </w:rPr>
              <w:t>（如属于专门面向中小企业采购的项目,供应商应为中小微企业、监狱企业、残疾人福利性单位)；</w:t>
            </w:r>
          </w:p>
          <w:p w14:paraId="4D841411">
            <w:pPr>
              <w:autoSpaceDE w:val="0"/>
              <w:autoSpaceDN w:val="0"/>
              <w:adjustRightInd w:val="0"/>
              <w:jc w:val="left"/>
              <w:rPr>
                <w:rFonts w:hint="eastAsia" w:ascii="宋体" w:hAnsi="宋体"/>
                <w:szCs w:val="21"/>
              </w:rPr>
            </w:pPr>
            <w:r>
              <w:rPr>
                <w:rFonts w:hint="eastAsia" w:ascii="宋体" w:hAnsi="宋体" w:cs="宋体"/>
                <w:i w:val="0"/>
                <w:iCs w:val="0"/>
                <w:sz w:val="24"/>
                <w:szCs w:val="24"/>
              </w:rPr>
              <w:t>3.本项目的特定资格要求：</w:t>
            </w:r>
            <w:r>
              <w:rPr>
                <w:rFonts w:hint="eastAsia" w:ascii="宋体" w:hAnsi="宋体" w:cs="宋体"/>
                <w:i w:val="0"/>
                <w:iCs w:val="0"/>
                <w:sz w:val="24"/>
                <w:szCs w:val="24"/>
                <w:u w:val="single"/>
              </w:rPr>
              <w:t>（如项目接受联合体投标，对联合体应提出相关资格要求；如属于特定行业项目,供应商应当具备特定行业法定准入要求。)</w:t>
            </w:r>
          </w:p>
        </w:tc>
      </w:tr>
      <w:tr w14:paraId="5809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82" w:type="pct"/>
            <w:noWrap w:val="0"/>
            <w:vAlign w:val="center"/>
          </w:tcPr>
          <w:p w14:paraId="03AD65D1">
            <w:pPr>
              <w:jc w:val="center"/>
              <w:rPr>
                <w:rFonts w:hint="eastAsia" w:ascii="宋体" w:hAnsi="宋体"/>
                <w:b/>
                <w:sz w:val="24"/>
              </w:rPr>
            </w:pPr>
            <w:r>
              <w:rPr>
                <w:rFonts w:hint="eastAsia" w:ascii="宋体" w:hAnsi="宋体"/>
                <w:b/>
                <w:sz w:val="24"/>
              </w:rPr>
              <w:t>付款方式</w:t>
            </w:r>
          </w:p>
        </w:tc>
        <w:tc>
          <w:tcPr>
            <w:tcW w:w="3817" w:type="pct"/>
            <w:noWrap w:val="0"/>
            <w:vAlign w:val="center"/>
          </w:tcPr>
          <w:p w14:paraId="03F404D0">
            <w:pPr>
              <w:keepNext w:val="0"/>
              <w:keepLines w:val="0"/>
              <w:widowControl/>
              <w:suppressLineNumbers w:val="0"/>
              <w:jc w:val="left"/>
              <w:rPr>
                <w:rFonts w:hint="eastAsia" w:ascii="宋体" w:hAnsi="宋体"/>
                <w:sz w:val="24"/>
                <w:szCs w:val="18"/>
              </w:rPr>
            </w:pPr>
            <w:r>
              <w:rPr>
                <w:rFonts w:hint="eastAsia" w:ascii="宋体" w:hAnsi="宋体" w:cs="宋体"/>
                <w:color w:val="000000"/>
                <w:kern w:val="0"/>
                <w:sz w:val="24"/>
                <w:szCs w:val="24"/>
                <w:lang w:val="en-US" w:eastAsia="zh-CN" w:bidi="ar"/>
              </w:rPr>
              <w:t>合同签订后3个月内付款</w:t>
            </w:r>
            <w:r>
              <w:rPr>
                <w:rFonts w:hint="eastAsia" w:ascii="宋体" w:hAnsi="宋体" w:eastAsia="宋体" w:cs="宋体"/>
                <w:color w:val="000000"/>
                <w:kern w:val="0"/>
                <w:sz w:val="24"/>
                <w:szCs w:val="24"/>
                <w:lang w:val="en-US" w:eastAsia="zh-CN" w:bidi="ar"/>
              </w:rPr>
              <w:t>。</w:t>
            </w:r>
          </w:p>
        </w:tc>
      </w:tr>
      <w:tr w14:paraId="45AE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82" w:type="pct"/>
            <w:noWrap w:val="0"/>
            <w:vAlign w:val="center"/>
          </w:tcPr>
          <w:p w14:paraId="5A715BF6">
            <w:pPr>
              <w:jc w:val="center"/>
              <w:rPr>
                <w:rFonts w:hint="eastAsia" w:ascii="宋体" w:hAnsi="宋体"/>
                <w:b/>
                <w:sz w:val="24"/>
              </w:rPr>
            </w:pPr>
            <w:r>
              <w:rPr>
                <w:rFonts w:hint="eastAsia" w:ascii="宋体" w:hAnsi="宋体"/>
                <w:b/>
                <w:sz w:val="24"/>
              </w:rPr>
              <w:t>服务地点</w:t>
            </w:r>
          </w:p>
        </w:tc>
        <w:tc>
          <w:tcPr>
            <w:tcW w:w="3817" w:type="pct"/>
            <w:noWrap w:val="0"/>
            <w:vAlign w:val="center"/>
          </w:tcPr>
          <w:p w14:paraId="51CA5B84">
            <w:pPr>
              <w:autoSpaceDE w:val="0"/>
              <w:autoSpaceDN w:val="0"/>
              <w:adjustRightInd w:val="0"/>
              <w:spacing w:line="360" w:lineRule="auto"/>
              <w:jc w:val="left"/>
              <w:rPr>
                <w:rFonts w:hint="eastAsia" w:ascii="宋体" w:hAnsi="宋体" w:eastAsia="宋体"/>
                <w:sz w:val="24"/>
                <w:szCs w:val="18"/>
                <w:lang w:val="en-US" w:eastAsia="zh-CN"/>
              </w:rPr>
            </w:pPr>
            <w:r>
              <w:rPr>
                <w:rFonts w:hint="eastAsia" w:ascii="宋体" w:hAnsi="宋体"/>
                <w:sz w:val="24"/>
                <w:szCs w:val="18"/>
                <w:lang w:val="en-US" w:eastAsia="zh-CN"/>
              </w:rPr>
              <w:t>合肥大学</w:t>
            </w:r>
          </w:p>
        </w:tc>
      </w:tr>
      <w:tr w14:paraId="5A72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0AA5135">
            <w:pPr>
              <w:jc w:val="center"/>
              <w:rPr>
                <w:rFonts w:hint="eastAsia" w:ascii="宋体" w:hAnsi="宋体"/>
                <w:b/>
                <w:sz w:val="24"/>
              </w:rPr>
            </w:pPr>
            <w:r>
              <w:rPr>
                <w:rFonts w:hint="eastAsia" w:ascii="宋体" w:hAnsi="宋体"/>
                <w:b/>
                <w:sz w:val="24"/>
              </w:rPr>
              <w:t>服务期限</w:t>
            </w:r>
          </w:p>
        </w:tc>
        <w:tc>
          <w:tcPr>
            <w:tcW w:w="3817" w:type="pct"/>
            <w:noWrap w:val="0"/>
            <w:vAlign w:val="center"/>
          </w:tcPr>
          <w:p w14:paraId="15704660">
            <w:pPr>
              <w:autoSpaceDE w:val="0"/>
              <w:autoSpaceDN w:val="0"/>
              <w:adjustRightInd w:val="0"/>
              <w:spacing w:line="360" w:lineRule="auto"/>
              <w:jc w:val="left"/>
              <w:rPr>
                <w:rFonts w:hint="default" w:ascii="宋体" w:hAnsi="宋体" w:eastAsia="宋体"/>
                <w:sz w:val="24"/>
                <w:szCs w:val="18"/>
                <w:lang w:val="en-US" w:eastAsia="zh-CN"/>
              </w:rPr>
            </w:pPr>
            <w:r>
              <w:rPr>
                <w:rFonts w:hint="eastAsia" w:ascii="宋体" w:hAnsi="宋体"/>
                <w:sz w:val="24"/>
                <w:szCs w:val="18"/>
                <w:lang w:val="en-US" w:eastAsia="zh-CN"/>
              </w:rPr>
              <w:t>合同签订后三年</w:t>
            </w:r>
          </w:p>
        </w:tc>
      </w:tr>
      <w:tr w14:paraId="6D78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25A63690">
            <w:pPr>
              <w:spacing w:line="360" w:lineRule="auto"/>
              <w:jc w:val="center"/>
              <w:rPr>
                <w:rFonts w:hint="eastAsia" w:ascii="宋体" w:hAnsi="宋体"/>
                <w:b/>
                <w:sz w:val="24"/>
              </w:rPr>
            </w:pPr>
            <w:r>
              <w:rPr>
                <w:rFonts w:hint="eastAsia" w:ascii="宋体" w:hAnsi="宋体"/>
                <w:b/>
                <w:sz w:val="24"/>
                <w:szCs w:val="24"/>
              </w:rPr>
              <w:t>是否专门面向中小企业采购</w:t>
            </w:r>
          </w:p>
        </w:tc>
        <w:tc>
          <w:tcPr>
            <w:tcW w:w="3817" w:type="pct"/>
            <w:noWrap w:val="0"/>
            <w:vAlign w:val="center"/>
          </w:tcPr>
          <w:p w14:paraId="59963A95">
            <w:pPr>
              <w:spacing w:line="360" w:lineRule="auto"/>
              <w:rPr>
                <w:rFonts w:hint="eastAsia" w:ascii="宋体" w:hAnsi="宋体"/>
                <w:sz w:val="24"/>
                <w:szCs w:val="18"/>
              </w:rPr>
            </w:pPr>
            <w:r>
              <w:rPr>
                <w:rFonts w:hint="eastAsia" w:ascii="宋体" w:hAnsi="宋体"/>
                <w:sz w:val="24"/>
                <w:szCs w:val="24"/>
              </w:rPr>
              <w:t>是</w:t>
            </w:r>
          </w:p>
        </w:tc>
      </w:tr>
      <w:tr w14:paraId="43BB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FEB79D4">
            <w:pPr>
              <w:spacing w:line="360" w:lineRule="auto"/>
              <w:jc w:val="center"/>
              <w:rPr>
                <w:rFonts w:hint="eastAsia" w:ascii="宋体" w:hAnsi="宋体"/>
                <w:b/>
                <w:sz w:val="24"/>
                <w:szCs w:val="24"/>
              </w:rPr>
            </w:pPr>
            <w:r>
              <w:rPr>
                <w:rFonts w:hint="eastAsia" w:ascii="宋体" w:hAnsi="宋体"/>
                <w:b/>
                <w:sz w:val="24"/>
                <w:szCs w:val="24"/>
              </w:rPr>
              <w:t>主要标的所属行业</w:t>
            </w:r>
          </w:p>
        </w:tc>
        <w:tc>
          <w:tcPr>
            <w:tcW w:w="3817" w:type="pct"/>
            <w:noWrap w:val="0"/>
            <w:vAlign w:val="center"/>
          </w:tcPr>
          <w:p w14:paraId="17E19F94">
            <w:pPr>
              <w:autoSpaceDE w:val="0"/>
              <w:autoSpaceDN w:val="0"/>
              <w:adjustRightInd w:val="0"/>
              <w:spacing w:line="360" w:lineRule="auto"/>
              <w:jc w:val="left"/>
              <w:rPr>
                <w:rFonts w:hint="default" w:ascii="宋体" w:hAnsi="宋体" w:eastAsia="宋体"/>
                <w:sz w:val="24"/>
                <w:szCs w:val="24"/>
                <w:lang w:val="en-US" w:eastAsia="zh-CN"/>
              </w:rPr>
            </w:pPr>
            <w:r>
              <w:rPr>
                <w:rFonts w:hint="eastAsia" w:ascii="宋体" w:hAnsi="宋体"/>
                <w:b w:val="0"/>
                <w:bCs/>
                <w:sz w:val="24"/>
                <w:szCs w:val="24"/>
                <w:lang w:val="en-US" w:eastAsia="zh-CN"/>
              </w:rPr>
              <w:t>软件和信息技术服务业</w:t>
            </w:r>
          </w:p>
        </w:tc>
      </w:tr>
      <w:tr w14:paraId="29F3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82" w:type="pct"/>
            <w:noWrap w:val="0"/>
            <w:vAlign w:val="center"/>
          </w:tcPr>
          <w:p w14:paraId="60DF2052">
            <w:pPr>
              <w:jc w:val="center"/>
              <w:rPr>
                <w:rFonts w:hint="eastAsia" w:ascii="宋体" w:hAnsi="宋体"/>
                <w:b/>
                <w:sz w:val="24"/>
              </w:rPr>
            </w:pPr>
            <w:r>
              <w:rPr>
                <w:rFonts w:hint="eastAsia" w:ascii="宋体" w:hAnsi="宋体"/>
                <w:b/>
                <w:sz w:val="24"/>
              </w:rPr>
              <w:t>拟采用的评标办法</w:t>
            </w:r>
          </w:p>
        </w:tc>
        <w:tc>
          <w:tcPr>
            <w:tcW w:w="3817" w:type="pct"/>
            <w:noWrap w:val="0"/>
            <w:vAlign w:val="center"/>
          </w:tcPr>
          <w:p w14:paraId="6A0F65B2">
            <w:pPr>
              <w:autoSpaceDE w:val="0"/>
              <w:autoSpaceDN w:val="0"/>
              <w:adjustRightInd w:val="0"/>
              <w:spacing w:line="360" w:lineRule="auto"/>
              <w:jc w:val="left"/>
              <w:rPr>
                <w:rFonts w:hint="eastAsia" w:ascii="宋体" w:hAnsi="宋体" w:eastAsia="宋体"/>
                <w:szCs w:val="21"/>
                <w:lang w:val="en-US" w:eastAsia="zh-CN"/>
              </w:rPr>
            </w:pPr>
            <w:r>
              <w:rPr>
                <w:rFonts w:hint="eastAsia" w:ascii="宋体" w:hAnsi="宋体"/>
                <w:szCs w:val="21"/>
                <w:lang w:val="en-US" w:eastAsia="zh-CN"/>
              </w:rPr>
              <w:t>/</w:t>
            </w:r>
          </w:p>
        </w:tc>
      </w:tr>
    </w:tbl>
    <w:p w14:paraId="189DF589">
      <w:pPr>
        <w:outlineLvl w:val="0"/>
        <w:rPr>
          <w:rFonts w:hint="eastAsia"/>
        </w:rPr>
      </w:pPr>
      <w:r>
        <w:rPr>
          <w:rFonts w:hint="eastAsia"/>
          <w:lang w:val="en-US" w:eastAsia="zh-CN"/>
        </w:rPr>
        <w:t>一</w:t>
      </w:r>
      <w:r>
        <w:rPr>
          <w:rFonts w:hint="eastAsia"/>
        </w:rPr>
        <w:t>、项目概况（如有）</w:t>
      </w:r>
    </w:p>
    <w:p w14:paraId="07B53D08">
      <w:pPr>
        <w:spacing w:line="360" w:lineRule="auto"/>
        <w:ind w:firstLine="480" w:firstLineChars="200"/>
        <w:rPr>
          <w:rFonts w:hint="eastAsia" w:ascii="宋体" w:hAnsi="宋体"/>
          <w:sz w:val="24"/>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《财政学》</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p w14:paraId="59EC9B21">
      <w:pPr>
        <w:outlineLvl w:val="0"/>
        <w:rPr>
          <w:rFonts w:hint="eastAsia"/>
        </w:rPr>
      </w:pPr>
      <w:r>
        <w:rPr>
          <w:rFonts w:hint="eastAsia"/>
          <w:lang w:val="en-US" w:eastAsia="zh-CN"/>
        </w:rPr>
        <w:t>二</w:t>
      </w:r>
      <w:r>
        <w:rPr>
          <w:rFonts w:hint="eastAsia"/>
        </w:rPr>
        <w:t>、服务需求</w:t>
      </w:r>
    </w:p>
    <w:p w14:paraId="07820CE0">
      <w:pPr>
        <w:numPr>
          <w:ilvl w:val="0"/>
          <w:numId w:val="0"/>
        </w:numPr>
        <w:adjustRightInd w:val="0"/>
        <w:snapToGrid w:val="0"/>
        <w:spacing w:line="360" w:lineRule="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一）</w:t>
      </w:r>
      <w:r>
        <w:rPr>
          <w:rFonts w:hint="eastAsia" w:ascii="宋体" w:hAnsi="宋体" w:eastAsia="宋体" w:cs="宋体"/>
          <w:b/>
          <w:bCs/>
          <w:sz w:val="28"/>
          <w:szCs w:val="28"/>
        </w:rPr>
        <w:t>课程知识图谱建设及资源建设</w:t>
      </w:r>
    </w:p>
    <w:p w14:paraId="5BB5D8B0">
      <w:pPr>
        <w:spacing w:line="360" w:lineRule="auto"/>
        <w:ind w:firstLine="482" w:firstLineChars="200"/>
        <w:outlineLvl w:val="2"/>
        <w:rPr>
          <w:rFonts w:hint="eastAsia" w:ascii="宋体" w:hAnsi="宋体" w:eastAsia="宋体" w:cs="宋体"/>
          <w:b/>
          <w:bCs/>
          <w:sz w:val="24"/>
          <w:szCs w:val="24"/>
        </w:rPr>
      </w:pPr>
      <w:r>
        <w:rPr>
          <w:rFonts w:hint="eastAsia" w:ascii="宋体" w:hAnsi="宋体" w:cs="宋体"/>
          <w:b/>
          <w:bCs/>
          <w:sz w:val="24"/>
          <w:szCs w:val="24"/>
          <w:lang w:val="en-US" w:eastAsia="zh-CN"/>
        </w:rPr>
        <w:t>1.</w:t>
      </w:r>
      <w:r>
        <w:rPr>
          <w:rFonts w:hint="eastAsia" w:ascii="宋体" w:hAnsi="宋体" w:eastAsia="宋体" w:cs="宋体"/>
          <w:b/>
          <w:bCs/>
          <w:sz w:val="24"/>
          <w:szCs w:val="24"/>
        </w:rPr>
        <w:t>课程内容重塑</w:t>
      </w:r>
    </w:p>
    <w:p w14:paraId="66093A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14:paraId="4BEDACC3">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课程知识图谱框架设计</w:t>
      </w:r>
    </w:p>
    <w:p w14:paraId="6730250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cs="宋体"/>
          <w:sz w:val="24"/>
          <w:szCs w:val="24"/>
          <w:lang w:val="en-US" w:eastAsia="zh-CN"/>
        </w:rPr>
        <w:t>15</w:t>
      </w:r>
      <w:r>
        <w:rPr>
          <w:rFonts w:hint="eastAsia" w:ascii="宋体" w:hAnsi="宋体" w:eastAsia="宋体" w:cs="宋体"/>
          <w:sz w:val="24"/>
          <w:szCs w:val="24"/>
        </w:rPr>
        <w:t>个基本问题，设计知识图谱≥</w:t>
      </w:r>
      <w:r>
        <w:rPr>
          <w:rFonts w:hint="eastAsia" w:ascii="宋体" w:hAnsi="宋体" w:cs="宋体"/>
          <w:sz w:val="24"/>
          <w:szCs w:val="24"/>
          <w:lang w:val="en-US" w:eastAsia="zh-CN"/>
        </w:rPr>
        <w:t>3</w:t>
      </w:r>
      <w:r>
        <w:rPr>
          <w:rFonts w:hint="eastAsia" w:ascii="宋体" w:hAnsi="宋体" w:eastAsia="宋体" w:cs="宋体"/>
          <w:sz w:val="24"/>
          <w:szCs w:val="24"/>
        </w:rPr>
        <w:t>00个知识点。</w:t>
      </w:r>
    </w:p>
    <w:p w14:paraId="2127D6F1">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（1）目标图谱：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14:paraId="257CF4AA">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（2）问题图谱：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14:paraId="66CC0EF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14:paraId="538E6138">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（3）知识图谱：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14:paraId="0006E287">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知识点梳理</w:t>
      </w:r>
    </w:p>
    <w:p w14:paraId="75D1BA31">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14:paraId="3ED7E42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14:paraId="3CFA8C8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结合学校定位、专业与课程目标，在符合课程统一标准的前提下，对重构后的课程内容拆分知识点，并根据课程特点和教学要求调整知识点的颗粒度，一门2</w:t>
      </w:r>
      <w:r>
        <w:rPr>
          <w:rFonts w:hint="eastAsia" w:ascii="宋体" w:hAnsi="宋体" w:cs="宋体"/>
          <w:sz w:val="24"/>
          <w:szCs w:val="24"/>
          <w:lang w:val="en-US" w:eastAsia="zh-CN"/>
        </w:rPr>
        <w:t>.5</w:t>
      </w:r>
      <w:r>
        <w:rPr>
          <w:rFonts w:hint="eastAsia" w:ascii="宋体" w:hAnsi="宋体" w:eastAsia="宋体" w:cs="宋体"/>
          <w:sz w:val="24"/>
          <w:szCs w:val="24"/>
        </w:rPr>
        <w:t>学分的课程，知识点数量≥</w:t>
      </w:r>
      <w:r>
        <w:rPr>
          <w:rFonts w:hint="eastAsia" w:ascii="宋体" w:hAnsi="宋体" w:cs="宋体"/>
          <w:sz w:val="24"/>
          <w:szCs w:val="24"/>
          <w:lang w:val="en-US" w:eastAsia="zh-CN"/>
        </w:rPr>
        <w:t>3</w:t>
      </w:r>
      <w:r>
        <w:rPr>
          <w:rFonts w:hint="eastAsia" w:ascii="宋体" w:hAnsi="宋体" w:eastAsia="宋体" w:cs="宋体"/>
          <w:sz w:val="24"/>
          <w:szCs w:val="24"/>
        </w:rPr>
        <w:t>00个。</w:t>
      </w:r>
    </w:p>
    <w:p w14:paraId="7B5854AB">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14:paraId="63AF6C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14:paraId="0BB32F23">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14:paraId="610B10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14:paraId="0F45FE53">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14:paraId="4FFAFE94">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14:paraId="6D6AAE2D">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14:paraId="6AD1BD6C">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14:paraId="5346E519">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14:paraId="193FAB58">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14:paraId="5D302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14:paraId="168AE491">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14:paraId="140B4388">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支持克隆或继承前课程的知识图谱以及相关关系。</w:t>
      </w:r>
    </w:p>
    <w:p w14:paraId="1F5E05F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支持教师调整知识点在课程空间菜单栏的显示顺序。</w:t>
      </w:r>
    </w:p>
    <w:p w14:paraId="483D2552">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eastAsia="宋体" w:cs="宋体"/>
          <w:sz w:val="24"/>
          <w:szCs w:val="24"/>
        </w:rPr>
        <w:t>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5</w:t>
      </w:r>
      <w:r>
        <w:rPr>
          <w:rFonts w:hint="eastAsia" w:ascii="宋体" w:hAnsi="宋体" w:cs="宋体"/>
          <w:sz w:val="24"/>
          <w:szCs w:val="24"/>
          <w:lang w:eastAsia="zh-CN"/>
        </w:rPr>
        <w:t>）</w:t>
      </w:r>
      <w:r>
        <w:rPr>
          <w:rFonts w:hint="eastAsia" w:ascii="宋体" w:hAnsi="宋体" w:eastAsia="宋体" w:cs="宋体"/>
          <w:sz w:val="24"/>
          <w:szCs w:val="24"/>
        </w:rPr>
        <w:t>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支持基于虚拟教研室协同创建管理知识图谱：支持跨学校、学院基于虚拟教研室创建知识图谱，</w:t>
      </w:r>
      <w:r>
        <w:rPr>
          <w:rFonts w:hint="eastAsia" w:ascii="宋体" w:hAnsi="宋体" w:cs="宋体"/>
          <w:sz w:val="24"/>
          <w:szCs w:val="24"/>
          <w:lang w:val="en-US" w:eastAsia="zh-CN"/>
        </w:rPr>
        <w:t>虚拟教研</w:t>
      </w:r>
      <w:r>
        <w:rPr>
          <w:rFonts w:hint="eastAsia" w:ascii="宋体" w:hAnsi="宋体" w:eastAsia="宋体" w:cs="宋体"/>
          <w:sz w:val="24"/>
          <w:szCs w:val="24"/>
        </w:rPr>
        <w:t>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w:t>
      </w:r>
      <w:r>
        <w:rPr>
          <w:rFonts w:hint="eastAsia" w:ascii="宋体" w:hAnsi="宋体" w:cs="宋体"/>
          <w:sz w:val="24"/>
          <w:szCs w:val="24"/>
          <w:lang w:val="en-US" w:eastAsia="zh-CN"/>
        </w:rPr>
        <w:t>虚拟教研</w:t>
      </w:r>
      <w:r>
        <w:rPr>
          <w:rFonts w:hint="eastAsia" w:ascii="宋体" w:hAnsi="宋体" w:eastAsia="宋体" w:cs="宋体"/>
          <w:sz w:val="24"/>
          <w:szCs w:val="24"/>
        </w:rPr>
        <w:t>内跨课之间知识点进行关联，关联后可以进行多门课程的知识点关联展示。</w:t>
      </w:r>
    </w:p>
    <w:p w14:paraId="1838BD8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eastAsia="宋体" w:cs="宋体"/>
          <w:sz w:val="24"/>
          <w:szCs w:val="24"/>
        </w:rPr>
        <w:t>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支持思维导图模式展示图谱内容，支持切换不同的结构形式查看，以及检索知识点快速查找；同时思维导图支持编辑模式，可进行操作的回退前进，知识点的增删改，以及属性编辑等。</w:t>
      </w:r>
    </w:p>
    <w:p w14:paraId="5000A352">
      <w:pPr>
        <w:pStyle w:val="3"/>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知识图谱资源建设</w:t>
      </w:r>
    </w:p>
    <w:p w14:paraId="7070D67B">
      <w:pPr>
        <w:pStyle w:val="7"/>
        <w:adjustRightInd w:val="0"/>
        <w:snapToGrid w:val="0"/>
        <w:spacing w:after="0" w:line="360" w:lineRule="auto"/>
        <w:ind w:left="0" w:leftChars="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55F8BB5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14:paraId="028823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14:paraId="776A5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14:paraId="39338F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14:paraId="053DA29F">
      <w:pPr>
        <w:adjustRightInd w:val="0"/>
        <w:snapToGrid w:val="0"/>
        <w:spacing w:line="360" w:lineRule="auto"/>
        <w:ind w:firstLine="480" w:firstLineChars="200"/>
        <w:outlineLvl w:val="3"/>
        <w:rPr>
          <w:rFonts w:hint="eastAsia" w:ascii="宋体" w:hAnsi="宋体" w:eastAsia="宋体" w:cs="宋体"/>
          <w:b/>
          <w:bCs/>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D数字人</w:t>
      </w:r>
      <w:r>
        <w:rPr>
          <w:rFonts w:hint="eastAsia" w:ascii="宋体" w:hAnsi="宋体" w:cs="宋体"/>
          <w:sz w:val="24"/>
          <w:szCs w:val="24"/>
          <w:lang w:val="en-US" w:eastAsia="zh-CN"/>
        </w:rPr>
        <w:t>普通</w:t>
      </w:r>
      <w:r>
        <w:rPr>
          <w:rFonts w:hint="eastAsia" w:ascii="宋体" w:hAnsi="宋体" w:eastAsia="宋体" w:cs="宋体"/>
          <w:sz w:val="24"/>
          <w:szCs w:val="24"/>
        </w:rPr>
        <w:t>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1CF9625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知识图谱题库关联</w:t>
      </w:r>
    </w:p>
    <w:p w14:paraId="3E5F5F8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14:paraId="3E98E4CE">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4C7C8EF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（2）审核管理</w:t>
      </w:r>
    </w:p>
    <w:p w14:paraId="675F3FB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3.智能学习监控</w:t>
      </w:r>
    </w:p>
    <w:p w14:paraId="41810006">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ind w:firstLine="482" w:firstLineChars="200"/>
        <w:outlineLvl w:val="2"/>
        <w:rPr>
          <w:rFonts w:hint="eastAsia" w:ascii="宋体" w:hAnsi="宋体" w:eastAsia="宋体" w:cs="宋体"/>
          <w:sz w:val="24"/>
          <w:szCs w:val="24"/>
        </w:rPr>
      </w:pPr>
      <w:r>
        <w:rPr>
          <w:rFonts w:hint="default" w:ascii="宋体" w:hAnsi="宋体" w:eastAsia="宋体" w:cs="宋体"/>
          <w:b/>
          <w:bCs/>
          <w:kern w:val="2"/>
          <w:sz w:val="24"/>
          <w:szCs w:val="24"/>
          <w:lang w:val="en-US" w:eastAsia="zh-CN" w:bidi="ar-SA"/>
        </w:rPr>
        <w:t>4.</w:t>
      </w:r>
      <w:r>
        <w:rPr>
          <w:rFonts w:hint="eastAsia" w:ascii="宋体" w:hAnsi="宋体" w:eastAsia="宋体" w:cs="宋体"/>
          <w:b/>
          <w:bCs/>
          <w:sz w:val="24"/>
          <w:szCs w:val="24"/>
        </w:rPr>
        <w:t>智能答疑</w:t>
      </w:r>
    </w:p>
    <w:p w14:paraId="4B792847">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支持手工启用、停用业务问答规则，可根据关键词搜索业务内容；</w:t>
      </w:r>
    </w:p>
    <w:p w14:paraId="5A0127DA">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eastAsia="宋体" w:cs="宋体"/>
          <w:b/>
          <w:bCs/>
          <w:sz w:val="28"/>
          <w:szCs w:val="28"/>
        </w:rPr>
        <w:t>课程AI工作台教学应用</w:t>
      </w:r>
    </w:p>
    <w:p w14:paraId="441C45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1.AI教案</w:t>
      </w:r>
    </w:p>
    <w:p w14:paraId="0BA3920D">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2.AI课件</w:t>
      </w:r>
    </w:p>
    <w:p w14:paraId="6F73BD6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1</w:t>
      </w:r>
      <w:r>
        <w:rPr>
          <w:rFonts w:hint="eastAsia" w:ascii="宋体" w:hAnsi="宋体" w:cs="宋体"/>
          <w:sz w:val="24"/>
          <w:szCs w:val="24"/>
          <w:lang w:eastAsia="zh-CN"/>
        </w:rPr>
        <w:t>）</w:t>
      </w:r>
      <w:r>
        <w:rPr>
          <w:rFonts w:hint="eastAsia" w:ascii="宋体" w:hAnsi="宋体" w:eastAsia="宋体" w:cs="宋体"/>
          <w:sz w:val="24"/>
          <w:szCs w:val="24"/>
        </w:rPr>
        <w:t>通过输入PPT内容要求，AI智能生成PPT大纲</w:t>
      </w:r>
    </w:p>
    <w:p w14:paraId="0C998B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eastAsia="宋体" w:cs="宋体"/>
          <w:sz w:val="24"/>
          <w:szCs w:val="24"/>
        </w:rPr>
        <w:t>支持教师在线直接编辑生成的大纲内容</w:t>
      </w:r>
    </w:p>
    <w:p w14:paraId="341A68F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支持AI自动根据大纲生成PPT，教师可以进行在线编辑或下载</w:t>
      </w:r>
    </w:p>
    <w:p w14:paraId="0AD5A92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eastAsia="宋体" w:cs="宋体"/>
          <w:sz w:val="24"/>
          <w:szCs w:val="24"/>
        </w:rPr>
        <w:t>支持选择PPT模板场景、设计风格、主题颜色，生成个性化PPT</w:t>
      </w:r>
    </w:p>
    <w:p w14:paraId="533675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3.AI写作</w:t>
      </w:r>
    </w:p>
    <w:p w14:paraId="5DCCF78E">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老师可进行文本修改、删减或排版</w:t>
      </w:r>
    </w:p>
    <w:p w14:paraId="4B65D49D">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在章节编辑页面，选中内容可进行AI改写、扩写、续写、简写、翻译等操作</w:t>
      </w:r>
    </w:p>
    <w:p w14:paraId="23797F4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4.AI出题</w:t>
      </w:r>
    </w:p>
    <w:p w14:paraId="071557D6">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支持多种题型，题型包括选择题、填空题、简答题等，以便满足不同类型考题的需求</w:t>
      </w:r>
    </w:p>
    <w:p w14:paraId="58FD9CBD">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支持设置出的题目的要求，比如：适用年级、难易度、题目偏向等。</w:t>
      </w:r>
    </w:p>
    <w:p w14:paraId="18359227">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5.AI批阅</w:t>
      </w:r>
    </w:p>
    <w:p w14:paraId="17821143">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使用先进的 AI 技术，能够批阅学生的主观题、论述题、小论文等</w:t>
      </w:r>
    </w:p>
    <w:p w14:paraId="17927AE1">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支持智能批阅程序题</w:t>
      </w:r>
    </w:p>
    <w:p w14:paraId="0864A4C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eastAsia="宋体" w:cs="宋体"/>
          <w:sz w:val="24"/>
          <w:szCs w:val="24"/>
        </w:rPr>
        <w:t>支持智能批阅口语题</w:t>
      </w:r>
    </w:p>
    <w:p w14:paraId="0D6C4A0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6.AI学情分析</w:t>
      </w:r>
    </w:p>
    <w:p w14:paraId="10E68440">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支持智能呈现班级整体知识点分析数据，提供个性化学习路径。</w:t>
      </w:r>
    </w:p>
    <w:p w14:paraId="12A054EF">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基于AI学情分析，可由AI生成学情分析画像，减轻教师学情分析压力，提升效率。</w:t>
      </w:r>
    </w:p>
    <w:p w14:paraId="0723422B">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7.</w:t>
      </w:r>
      <w:bookmarkStart w:id="0" w:name="_Toc177679160"/>
      <w:r>
        <w:rPr>
          <w:rFonts w:hint="eastAsia" w:ascii="宋体" w:hAnsi="宋体" w:eastAsia="宋体" w:cs="宋体"/>
          <w:b/>
          <w:bCs/>
          <w:sz w:val="24"/>
          <w:szCs w:val="24"/>
        </w:rPr>
        <w:t>个性化学习路径推荐</w:t>
      </w:r>
      <w:bookmarkEnd w:id="0"/>
    </w:p>
    <w:p w14:paraId="4428D566">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为学生智能化推荐个性化学习路径，呈现路径中各知识点掌握率</w:t>
      </w:r>
    </w:p>
    <w:p w14:paraId="78723CC3">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基于错题智能推荐薄弱知识点</w:t>
      </w:r>
    </w:p>
    <w:p w14:paraId="5F61C676">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8.智能推荐资源</w:t>
      </w:r>
    </w:p>
    <w:p w14:paraId="72B7E8B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9.文献阅读</w:t>
      </w:r>
    </w:p>
    <w:p w14:paraId="3A97DEC6">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10.视频理解</w:t>
      </w:r>
    </w:p>
    <w:p w14:paraId="547055D4">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11.章节内容智能审查与文本纠错</w:t>
      </w:r>
    </w:p>
    <w:p w14:paraId="1C9A5D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12.作业智能查重</w:t>
      </w:r>
    </w:p>
    <w:p w14:paraId="6E6129A0">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13.视频智能分析</w:t>
      </w:r>
    </w:p>
    <w:p w14:paraId="4218388F">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基于人工智能技术生成知识点词云分析并展示</w:t>
      </w:r>
    </w:p>
    <w:p w14:paraId="05A7FDB2">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支持视频播放时学生可以定位到时间点观看对应知识点的视频讲解。</w:t>
      </w:r>
    </w:p>
    <w:p w14:paraId="12137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14.智能翻译</w:t>
      </w:r>
    </w:p>
    <w:p w14:paraId="249441CE">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15.公式识别</w:t>
      </w:r>
    </w:p>
    <w:p w14:paraId="119CAA0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sz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教师录入公式后，系统自动将图片公式分析出来并可转换为latex公式。</w:t>
      </w:r>
    </w:p>
    <w:p w14:paraId="597729DB">
      <w:pPr>
        <w:outlineLvl w:val="0"/>
        <w:rPr>
          <w:rFonts w:hint="eastAsia"/>
        </w:rPr>
      </w:pPr>
      <w:r>
        <w:rPr>
          <w:rFonts w:hint="eastAsia"/>
          <w:lang w:val="en-US" w:eastAsia="zh-CN"/>
        </w:rPr>
        <w:t>三</w:t>
      </w:r>
      <w:r>
        <w:rPr>
          <w:rFonts w:hint="eastAsia"/>
        </w:rPr>
        <w:t>、报价要求（如有）</w:t>
      </w:r>
    </w:p>
    <w:p w14:paraId="0D689277">
      <w:pPr>
        <w:spacing w:line="360" w:lineRule="auto"/>
        <w:ind w:firstLine="523" w:firstLineChars="218"/>
        <w:rPr>
          <w:rFonts w:hint="default" w:ascii="宋体" w:hAnsi="宋体" w:eastAsia="宋体"/>
          <w:sz w:val="24"/>
          <w:lang w:val="en-US" w:eastAsia="zh-CN"/>
        </w:rPr>
      </w:pPr>
      <w:r>
        <w:rPr>
          <w:rFonts w:hint="eastAsia" w:ascii="宋体" w:hAnsi="宋体"/>
          <w:sz w:val="24"/>
          <w:lang w:val="en-US" w:eastAsia="zh-CN"/>
        </w:rPr>
        <w:t>不高于项目预算</w:t>
      </w:r>
    </w:p>
    <w:p w14:paraId="76A24A3C">
      <w:pPr>
        <w:rPr>
          <w:rFonts w:hint="default" w:eastAsia="宋体"/>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D9857"/>
    <w:multiLevelType w:val="singleLevel"/>
    <w:tmpl w:val="A8DD9857"/>
    <w:lvl w:ilvl="0" w:tentative="0">
      <w:start w:val="1"/>
      <w:numFmt w:val="decimal"/>
      <w:suff w:val="nothing"/>
      <w:lvlText w:val="(%1)"/>
      <w:lvlJc w:val="left"/>
      <w:pPr>
        <w:ind w:left="425" w:hanging="425"/>
      </w:pPr>
      <w:rPr>
        <w:rFonts w:hint="default"/>
      </w:rPr>
    </w:lvl>
  </w:abstractNum>
  <w:abstractNum w:abstractNumId="1">
    <w:nsid w:val="B01E9812"/>
    <w:multiLevelType w:val="singleLevel"/>
    <w:tmpl w:val="B01E9812"/>
    <w:lvl w:ilvl="0" w:tentative="0">
      <w:start w:val="1"/>
      <w:numFmt w:val="decimal"/>
      <w:lvlText w:val="(%1)"/>
      <w:lvlJc w:val="left"/>
      <w:pPr>
        <w:ind w:left="425" w:hanging="425"/>
      </w:pPr>
      <w:rPr>
        <w:rFonts w:hint="default"/>
      </w:rPr>
    </w:lvl>
  </w:abstractNum>
  <w:abstractNum w:abstractNumId="2">
    <w:nsid w:val="C0BF8D61"/>
    <w:multiLevelType w:val="singleLevel"/>
    <w:tmpl w:val="C0BF8D61"/>
    <w:lvl w:ilvl="0" w:tentative="0">
      <w:start w:val="1"/>
      <w:numFmt w:val="decimal"/>
      <w:suff w:val="nothing"/>
      <w:lvlText w:val="(%1)"/>
      <w:lvlJc w:val="left"/>
      <w:pPr>
        <w:ind w:left="425" w:hanging="425"/>
      </w:pPr>
      <w:rPr>
        <w:rFonts w:hint="default"/>
      </w:rPr>
    </w:lvl>
  </w:abstractNum>
  <w:abstractNum w:abstractNumId="3">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4">
    <w:nsid w:val="F86304A3"/>
    <w:multiLevelType w:val="singleLevel"/>
    <w:tmpl w:val="F86304A3"/>
    <w:lvl w:ilvl="0" w:tentative="0">
      <w:start w:val="1"/>
      <w:numFmt w:val="decimal"/>
      <w:lvlText w:val="(%1)"/>
      <w:lvlJc w:val="left"/>
      <w:pPr>
        <w:ind w:left="425" w:hanging="425"/>
      </w:pPr>
      <w:rPr>
        <w:rFonts w:hint="default"/>
      </w:rPr>
    </w:lvl>
  </w:abstractNum>
  <w:abstractNum w:abstractNumId="5">
    <w:nsid w:val="FDA5B167"/>
    <w:multiLevelType w:val="singleLevel"/>
    <w:tmpl w:val="FDA5B167"/>
    <w:lvl w:ilvl="0" w:tentative="0">
      <w:start w:val="1"/>
      <w:numFmt w:val="decimal"/>
      <w:lvlText w:val="(%1)"/>
      <w:lvlJc w:val="left"/>
      <w:pPr>
        <w:ind w:left="425" w:hanging="425"/>
      </w:pPr>
      <w:rPr>
        <w:rFonts w:hint="default"/>
      </w:rPr>
    </w:lvl>
  </w:abstractNum>
  <w:abstractNum w:abstractNumId="6">
    <w:nsid w:val="1A28E283"/>
    <w:multiLevelType w:val="singleLevel"/>
    <w:tmpl w:val="1A28E283"/>
    <w:lvl w:ilvl="0" w:tentative="0">
      <w:start w:val="1"/>
      <w:numFmt w:val="decimal"/>
      <w:suff w:val="nothing"/>
      <w:lvlText w:val="(%1)"/>
      <w:lvlJc w:val="left"/>
      <w:pPr>
        <w:ind w:left="425" w:hanging="425"/>
      </w:pPr>
      <w:rPr>
        <w:rFonts w:hint="default"/>
      </w:rPr>
    </w:lvl>
  </w:abstractNum>
  <w:abstractNum w:abstractNumId="7">
    <w:nsid w:val="2BB293F4"/>
    <w:multiLevelType w:val="singleLevel"/>
    <w:tmpl w:val="2BB293F4"/>
    <w:lvl w:ilvl="0" w:tentative="0">
      <w:start w:val="1"/>
      <w:numFmt w:val="decimal"/>
      <w:lvlText w:val="(%1)"/>
      <w:lvlJc w:val="left"/>
      <w:pPr>
        <w:ind w:left="425" w:hanging="425"/>
      </w:pPr>
      <w:rPr>
        <w:rFonts w:hint="default"/>
      </w:rPr>
    </w:lvl>
  </w:abstractNum>
  <w:abstractNum w:abstractNumId="8">
    <w:nsid w:val="33CBD949"/>
    <w:multiLevelType w:val="singleLevel"/>
    <w:tmpl w:val="33CBD949"/>
    <w:lvl w:ilvl="0" w:tentative="0">
      <w:start w:val="1"/>
      <w:numFmt w:val="decimal"/>
      <w:suff w:val="nothing"/>
      <w:lvlText w:val="(%1)"/>
      <w:lvlJc w:val="left"/>
      <w:pPr>
        <w:ind w:left="425" w:hanging="425"/>
      </w:pPr>
      <w:rPr>
        <w:rFonts w:hint="default"/>
      </w:rPr>
    </w:lvl>
  </w:abstractNum>
  <w:abstractNum w:abstractNumId="9">
    <w:nsid w:val="34FA8AD0"/>
    <w:multiLevelType w:val="singleLevel"/>
    <w:tmpl w:val="34FA8AD0"/>
    <w:lvl w:ilvl="0" w:tentative="0">
      <w:start w:val="1"/>
      <w:numFmt w:val="decimal"/>
      <w:suff w:val="nothing"/>
      <w:lvlText w:val="(%1)"/>
      <w:lvlJc w:val="left"/>
      <w:pPr>
        <w:ind w:left="425" w:hanging="425"/>
      </w:pPr>
      <w:rPr>
        <w:rFonts w:hint="default"/>
      </w:rPr>
    </w:lvl>
  </w:abstractNum>
  <w:abstractNum w:abstractNumId="10">
    <w:nsid w:val="417D222F"/>
    <w:multiLevelType w:val="singleLevel"/>
    <w:tmpl w:val="417D222F"/>
    <w:lvl w:ilvl="0" w:tentative="0">
      <w:start w:val="1"/>
      <w:numFmt w:val="decimal"/>
      <w:lvlText w:val="(%1)"/>
      <w:lvlJc w:val="left"/>
      <w:pPr>
        <w:ind w:left="425" w:hanging="425"/>
      </w:pPr>
      <w:rPr>
        <w:rFonts w:hint="default"/>
      </w:rPr>
    </w:lvl>
  </w:abstractNum>
  <w:abstractNum w:abstractNumId="11">
    <w:nsid w:val="6413E916"/>
    <w:multiLevelType w:val="singleLevel"/>
    <w:tmpl w:val="6413E916"/>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0"/>
  </w:num>
  <w:num w:numId="4">
    <w:abstractNumId w:val="8"/>
  </w:num>
  <w:num w:numId="5">
    <w:abstractNumId w:val="10"/>
  </w:num>
  <w:num w:numId="6">
    <w:abstractNumId w:val="1"/>
  </w:num>
  <w:num w:numId="7">
    <w:abstractNumId w:val="5"/>
  </w:num>
  <w:num w:numId="8">
    <w:abstractNumId w:val="7"/>
  </w:num>
  <w:num w:numId="9">
    <w:abstractNumId w:val="2"/>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BE02048"/>
    <w:rsid w:val="019D00C9"/>
    <w:rsid w:val="08A752BC"/>
    <w:rsid w:val="15D0433B"/>
    <w:rsid w:val="16C03155"/>
    <w:rsid w:val="1B483DE5"/>
    <w:rsid w:val="1C4C51E2"/>
    <w:rsid w:val="1D393E6B"/>
    <w:rsid w:val="1D4B6291"/>
    <w:rsid w:val="30FD7AF6"/>
    <w:rsid w:val="40367E6D"/>
    <w:rsid w:val="48D6174F"/>
    <w:rsid w:val="4B2A4D29"/>
    <w:rsid w:val="4C07600A"/>
    <w:rsid w:val="4D89167D"/>
    <w:rsid w:val="53F242D3"/>
    <w:rsid w:val="5CF263AC"/>
    <w:rsid w:val="5F204D63"/>
    <w:rsid w:val="64E33903"/>
    <w:rsid w:val="671B5259"/>
    <w:rsid w:val="73D20DDC"/>
    <w:rsid w:val="77805B73"/>
    <w:rsid w:val="7AAE0245"/>
    <w:rsid w:val="7FFE8F8F"/>
    <w:rsid w:val="CBE02048"/>
    <w:rsid w:val="E9EBD596"/>
    <w:rsid w:val="F36FE2C9"/>
    <w:rsid w:val="F6FB4F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eastAsia="宋体" w:cs="Times New Roman"/>
    </w:rPr>
  </w:style>
  <w:style w:type="paragraph" w:styleId="3">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4">
    <w:name w:val="Body Text Indent"/>
    <w:basedOn w:val="1"/>
    <w:next w:val="5"/>
    <w:qFormat/>
    <w:uiPriority w:val="0"/>
    <w:pPr>
      <w:spacing w:after="120"/>
      <w:ind w:left="420" w:leftChars="200"/>
    </w:pPr>
    <w:rPr>
      <w:rFonts w:ascii="Times New Roman" w:hAnsi="Times New Roman" w:cs="Times New Roman"/>
      <w:sz w:val="20"/>
    </w:rPr>
  </w:style>
  <w:style w:type="paragraph" w:styleId="5">
    <w:name w:val="envelope return"/>
    <w:basedOn w:val="1"/>
    <w:unhideWhenUsed/>
    <w:qFormat/>
    <w:uiPriority w:val="99"/>
    <w:pPr>
      <w:snapToGrid w:val="0"/>
    </w:pPr>
    <w:rPr>
      <w:rFonts w:ascii="Arial" w:hAnsi="Arial"/>
    </w:rPr>
  </w:style>
  <w:style w:type="paragraph" w:styleId="6">
    <w:name w:val="Body Text First Indent"/>
    <w:basedOn w:val="2"/>
    <w:unhideWhenUsed/>
    <w:qFormat/>
    <w:uiPriority w:val="0"/>
    <w:pPr>
      <w:ind w:firstLine="420" w:firstLineChars="100"/>
    </w:pPr>
    <w:rPr>
      <w:rFonts w:asciiTheme="minorHAnsi" w:hAnsiTheme="minorHAnsi" w:eastAsiaTheme="minorEastAsia" w:cstheme="minorBidi"/>
    </w:rPr>
  </w:style>
  <w:style w:type="paragraph" w:styleId="7">
    <w:name w:val="Body Text First Indent 2"/>
    <w:basedOn w:val="4"/>
    <w:next w:val="6"/>
    <w:unhideWhenUsed/>
    <w:qFormat/>
    <w:uiPriority w:val="0"/>
    <w:pPr>
      <w:ind w:firstLine="42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11491</Words>
  <Characters>11700</Characters>
  <Lines>0</Lines>
  <Paragraphs>0</Paragraphs>
  <TotalTime>15</TotalTime>
  <ScaleCrop>false</ScaleCrop>
  <LinksUpToDate>false</LinksUpToDate>
  <CharactersWithSpaces>11705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2023-06-06T16:24:00Z</dcterms:created>
  <dc:creator>user</dc:creator>
  <cp:lastModifiedBy>happy</cp:lastModifiedBy>
  <dcterms:modified xsi:type="dcterms:W3CDTF">2026-07-03T02:12:12Z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0B9155A919B4472288E418A690BF0511_13</vt:lpwstr>
  </property>
  <property fmtid="{D5CDD505-2E9C-101B-9397-08002B2CF9AE}" pid="4" name="KSOTemplateDocerSaveRecord">
    <vt:lpwstr>eyJoZGlkIjoiMDA5MTE4YTQ3MDIxMDY3ZGI5MDM5YmJkY2M1MDg4MDAiLCJ1c2VySWQiOiI0NzY3NTU5ODQifQ==</vt:lpwstr>
  </property>
</Properties>
</file>