
<file path=[Content_Types].xml><?xml version="1.0" encoding="utf-8"?>
<Types xmlns="http://schemas.openxmlformats.org/package/2006/content-types">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2"/>
          <w:szCs w:val="32"/>
        </w:rPr>
      </w:pPr>
    </w:p>
    <w:p>
      <w:pPr>
        <w:jc w:val="center"/>
        <w:rPr>
          <w:rFonts w:hint="eastAsia"/>
          <w:b/>
          <w:sz w:val="32"/>
          <w:szCs w:val="32"/>
        </w:rPr>
      </w:pPr>
      <w:r>
        <w:rPr>
          <w:rFonts w:hint="eastAsia"/>
          <w:b/>
          <w:sz w:val="32"/>
          <w:szCs w:val="32"/>
        </w:rPr>
        <w:t>粉体材料科学与工程专业</w:t>
      </w:r>
      <w:r>
        <w:rPr>
          <w:rFonts w:hint="eastAsia"/>
          <w:b/>
          <w:sz w:val="32"/>
          <w:szCs w:val="32"/>
          <w:lang w:eastAsia="zh-CN"/>
        </w:rPr>
        <w:t>研究平台、</w:t>
      </w:r>
      <w:r>
        <w:rPr>
          <w:rFonts w:hint="eastAsia"/>
          <w:b/>
          <w:sz w:val="32"/>
          <w:szCs w:val="32"/>
        </w:rPr>
        <w:t>实验室介绍</w:t>
      </w:r>
    </w:p>
    <w:p>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sz w:val="24"/>
          <w:szCs w:val="24"/>
        </w:rPr>
      </w:pPr>
      <w:r>
        <w:rPr>
          <w:rFonts w:hint="eastAsia"/>
          <w:sz w:val="24"/>
          <w:szCs w:val="24"/>
        </w:rPr>
        <w:t>粉体材料科学与工程专业实验室是由合肥学院能源材料与化工学院材料科学与工程系粉体材料科学与工程专业教研室建设并管理的，主要职责是承担</w:t>
      </w:r>
      <w:r>
        <w:rPr>
          <w:rFonts w:hint="eastAsia"/>
          <w:sz w:val="24"/>
          <w:szCs w:val="24"/>
          <w:lang w:eastAsia="zh-CN"/>
        </w:rPr>
        <w:t>粉体材料科学与工程</w:t>
      </w:r>
      <w:r>
        <w:rPr>
          <w:rFonts w:hint="eastAsia"/>
          <w:sz w:val="24"/>
          <w:szCs w:val="24"/>
        </w:rPr>
        <w:t>专业本科生的实验</w:t>
      </w:r>
      <w:r>
        <w:rPr>
          <w:rFonts w:hint="eastAsia"/>
          <w:sz w:val="24"/>
          <w:szCs w:val="24"/>
          <w:lang w:eastAsia="zh-CN"/>
        </w:rPr>
        <w:t>和实训</w:t>
      </w:r>
      <w:r>
        <w:rPr>
          <w:rFonts w:hint="eastAsia"/>
          <w:sz w:val="24"/>
          <w:szCs w:val="24"/>
        </w:rPr>
        <w:t>教学任务。本专业实验室</w:t>
      </w:r>
      <w:r>
        <w:rPr>
          <w:rFonts w:hint="eastAsia"/>
          <w:sz w:val="24"/>
          <w:szCs w:val="24"/>
          <w:lang w:eastAsia="zh-CN"/>
        </w:rPr>
        <w:t>拥有实验面积达</w:t>
      </w:r>
      <w:r>
        <w:rPr>
          <w:rFonts w:hint="eastAsia"/>
          <w:sz w:val="24"/>
          <w:szCs w:val="24"/>
          <w:lang w:val="en-US" w:eastAsia="zh-CN"/>
        </w:rPr>
        <w:t>3000m</w:t>
      </w:r>
      <w:r>
        <w:rPr>
          <w:rFonts w:hint="eastAsia"/>
          <w:sz w:val="24"/>
          <w:szCs w:val="24"/>
          <w:vertAlign w:val="superscript"/>
          <w:lang w:val="en-US" w:eastAsia="zh-CN"/>
        </w:rPr>
        <w:t>2</w:t>
      </w:r>
      <w:r>
        <w:rPr>
          <w:rFonts w:hint="eastAsia"/>
          <w:sz w:val="24"/>
          <w:szCs w:val="24"/>
          <w:lang w:val="en-US" w:eastAsia="zh-CN"/>
        </w:rPr>
        <w:t>, 大型仪器价值600多万，实验平台包括纳米助剂研发工程中心、增材制造与粉体技术协同创新中心和粉体专业实验室，</w:t>
      </w:r>
      <w:r>
        <w:rPr>
          <w:rFonts w:hint="eastAsia"/>
          <w:sz w:val="24"/>
          <w:szCs w:val="24"/>
        </w:rPr>
        <w:t>包括超细粉体制备实验室、粉体合成实验室、粉体工艺实验室、粉体性能测试实验室和粉体工程应用实验室。各实验室简介如下。本实验室的教学宗旨是：“笃学善思、开拓创新”。</w:t>
      </w:r>
    </w:p>
    <w:p>
      <w:pPr>
        <w:spacing w:line="360" w:lineRule="exact"/>
        <w:ind w:firstLine="435"/>
        <w:rPr>
          <w:rFonts w:hint="eastAsia"/>
          <w:sz w:val="24"/>
          <w:szCs w:val="24"/>
        </w:rPr>
      </w:pPr>
    </w:p>
    <w:p>
      <w:pPr>
        <w:pStyle w:val="4"/>
        <w:numPr>
          <w:ilvl w:val="0"/>
          <w:numId w:val="1"/>
        </w:numPr>
        <w:spacing w:line="360" w:lineRule="exact"/>
        <w:ind w:firstLineChars="0"/>
        <w:rPr>
          <w:rFonts w:hint="eastAsia"/>
          <w:b/>
          <w:bCs/>
          <w:sz w:val="28"/>
          <w:szCs w:val="28"/>
        </w:rPr>
      </w:pPr>
      <w:r>
        <w:rPr>
          <w:rFonts w:hint="eastAsia"/>
          <w:b/>
          <w:bCs/>
          <w:sz w:val="28"/>
          <w:szCs w:val="28"/>
        </w:rPr>
        <w:t>超细粉体制备</w:t>
      </w:r>
      <w:r>
        <w:rPr>
          <w:rFonts w:hint="eastAsia"/>
          <w:b/>
          <w:bCs/>
          <w:sz w:val="28"/>
          <w:szCs w:val="28"/>
          <w:lang w:eastAsia="zh-CN"/>
        </w:rPr>
        <w:t>（物理法）</w:t>
      </w:r>
      <w:r>
        <w:rPr>
          <w:rFonts w:hint="eastAsia"/>
          <w:b/>
          <w:bCs/>
          <w:sz w:val="28"/>
          <w:szCs w:val="28"/>
        </w:rPr>
        <w:t>实验室</w:t>
      </w:r>
    </w:p>
    <w:p>
      <w:pPr>
        <w:pStyle w:val="4"/>
        <w:spacing w:line="360" w:lineRule="exact"/>
        <w:ind w:left="360" w:firstLine="0" w:firstLineChars="0"/>
        <w:rPr>
          <w:rFonts w:hint="eastAsia"/>
          <w:sz w:val="24"/>
          <w:szCs w:val="24"/>
        </w:rPr>
      </w:pPr>
      <w:r>
        <w:rPr>
          <w:rFonts w:hint="eastAsia"/>
          <w:sz w:val="24"/>
          <w:szCs w:val="24"/>
        </w:rPr>
        <w:t>超细粉体制备实验室主要开展粉体的物理法制备相关实验，主要实验项目有：</w:t>
      </w:r>
    </w:p>
    <w:p>
      <w:pPr>
        <w:pStyle w:val="4"/>
        <w:numPr>
          <w:ilvl w:val="0"/>
          <w:numId w:val="2"/>
        </w:numPr>
        <w:spacing w:line="360" w:lineRule="exact"/>
        <w:ind w:left="720" w:leftChars="0" w:firstLineChars="0"/>
        <w:rPr>
          <w:rFonts w:hint="eastAsia"/>
          <w:sz w:val="24"/>
          <w:szCs w:val="24"/>
        </w:rPr>
      </w:pPr>
      <w:r>
        <w:rPr>
          <w:rFonts w:hint="eastAsia"/>
          <w:sz w:val="24"/>
          <w:szCs w:val="24"/>
        </w:rPr>
        <w:t>碳酸钙粉体的破碎</w:t>
      </w:r>
      <w:r>
        <w:rPr>
          <w:rFonts w:hint="eastAsia"/>
          <w:sz w:val="24"/>
          <w:szCs w:val="24"/>
          <w:lang w:eastAsia="zh-CN"/>
        </w:rPr>
        <w:t>（颚式破碎机）</w:t>
      </w:r>
      <w:r>
        <w:rPr>
          <w:rFonts w:hint="eastAsia"/>
          <w:sz w:val="24"/>
          <w:szCs w:val="24"/>
        </w:rPr>
        <w:t>及筛分法测试粒度</w:t>
      </w:r>
    </w:p>
    <w:p>
      <w:pPr>
        <w:pStyle w:val="4"/>
        <w:numPr>
          <w:ilvl w:val="0"/>
          <w:numId w:val="2"/>
        </w:numPr>
        <w:spacing w:line="360" w:lineRule="exact"/>
        <w:ind w:left="720" w:leftChars="0" w:firstLineChars="0"/>
        <w:rPr>
          <w:rFonts w:hint="eastAsia"/>
          <w:sz w:val="24"/>
          <w:szCs w:val="24"/>
        </w:rPr>
      </w:pPr>
      <w:r>
        <w:rPr>
          <w:rFonts w:hint="eastAsia"/>
          <w:sz w:val="24"/>
          <w:szCs w:val="24"/>
        </w:rPr>
        <w:t>碳酸钙粉体超细粉碎</w:t>
      </w:r>
      <w:r>
        <w:rPr>
          <w:rFonts w:hint="eastAsia"/>
          <w:sz w:val="24"/>
          <w:szCs w:val="24"/>
          <w:lang w:eastAsia="zh-CN"/>
        </w:rPr>
        <w:t>（超微粉碎机）</w:t>
      </w:r>
      <w:r>
        <w:rPr>
          <w:rFonts w:hint="eastAsia"/>
          <w:sz w:val="24"/>
          <w:szCs w:val="24"/>
        </w:rPr>
        <w:t>及激光法测试粒度</w:t>
      </w:r>
    </w:p>
    <w:p>
      <w:pPr>
        <w:pStyle w:val="4"/>
        <w:numPr>
          <w:ilvl w:val="0"/>
          <w:numId w:val="2"/>
        </w:numPr>
        <w:spacing w:line="360" w:lineRule="exact"/>
        <w:ind w:left="720" w:leftChars="0" w:firstLineChars="0"/>
        <w:rPr>
          <w:rFonts w:hint="eastAsia"/>
          <w:sz w:val="24"/>
          <w:szCs w:val="24"/>
        </w:rPr>
      </w:pPr>
      <w:r>
        <w:rPr>
          <w:rFonts w:hint="eastAsia"/>
          <w:sz w:val="24"/>
          <w:szCs w:val="24"/>
          <w:lang w:eastAsia="zh-CN"/>
        </w:rPr>
        <w:t>硅藻土超细粉体湿法（胶体磨）制备</w:t>
      </w:r>
    </w:p>
    <w:p>
      <w:pPr>
        <w:pStyle w:val="4"/>
        <w:numPr>
          <w:ilvl w:val="0"/>
          <w:numId w:val="2"/>
        </w:numPr>
        <w:spacing w:line="360" w:lineRule="exact"/>
        <w:ind w:left="720" w:leftChars="0" w:firstLineChars="0"/>
        <w:rPr>
          <w:rFonts w:hint="eastAsia"/>
          <w:sz w:val="24"/>
          <w:szCs w:val="24"/>
        </w:rPr>
      </w:pPr>
      <w:r>
        <w:rPr>
          <w:rFonts w:hint="eastAsia"/>
          <w:sz w:val="24"/>
          <w:szCs w:val="24"/>
          <w:lang w:eastAsia="zh-CN"/>
        </w:rPr>
        <w:t>蒙脱石超细粉体干法（搅拌磨、行星磨、振动磨）制备</w:t>
      </w:r>
    </w:p>
    <w:p>
      <w:pPr>
        <w:pStyle w:val="4"/>
        <w:numPr>
          <w:ilvl w:val="0"/>
          <w:numId w:val="0"/>
        </w:numPr>
        <w:spacing w:line="360" w:lineRule="exact"/>
        <w:ind w:leftChars="0"/>
        <w:rPr>
          <w:rFonts w:hint="eastAsia"/>
          <w:sz w:val="24"/>
          <w:szCs w:val="24"/>
        </w:rPr>
      </w:pPr>
    </w:p>
    <w:p>
      <w:pPr>
        <w:pStyle w:val="4"/>
        <w:numPr>
          <w:ilvl w:val="0"/>
          <w:numId w:val="1"/>
        </w:numPr>
        <w:spacing w:line="360" w:lineRule="exact"/>
        <w:ind w:firstLineChars="0"/>
        <w:rPr>
          <w:rFonts w:hint="eastAsia"/>
          <w:b/>
          <w:bCs/>
          <w:sz w:val="28"/>
          <w:szCs w:val="28"/>
        </w:rPr>
      </w:pPr>
      <w:r>
        <w:rPr>
          <w:rFonts w:hint="eastAsia"/>
          <w:b/>
          <w:bCs/>
          <w:sz w:val="28"/>
          <w:szCs w:val="28"/>
        </w:rPr>
        <w:t>粉体合成</w:t>
      </w:r>
      <w:r>
        <w:rPr>
          <w:rFonts w:hint="eastAsia"/>
          <w:b/>
          <w:bCs/>
          <w:sz w:val="28"/>
          <w:szCs w:val="28"/>
          <w:lang w:eastAsia="zh-CN"/>
        </w:rPr>
        <w:t>（化学法）</w:t>
      </w:r>
      <w:r>
        <w:rPr>
          <w:rFonts w:hint="eastAsia"/>
          <w:b/>
          <w:bCs/>
          <w:sz w:val="28"/>
          <w:szCs w:val="28"/>
        </w:rPr>
        <w:t>实验室</w:t>
      </w:r>
    </w:p>
    <w:p>
      <w:pPr>
        <w:pStyle w:val="4"/>
        <w:numPr>
          <w:ilvl w:val="0"/>
          <w:numId w:val="0"/>
        </w:numPr>
        <w:spacing w:line="360" w:lineRule="exact"/>
        <w:ind w:leftChars="0"/>
        <w:rPr>
          <w:rFonts w:hint="default" w:eastAsiaTheme="minorEastAsia"/>
          <w:b/>
          <w:bCs/>
          <w:sz w:val="28"/>
          <w:szCs w:val="28"/>
          <w:lang w:val="en-US" w:eastAsia="zh-CN"/>
        </w:rPr>
      </w:pPr>
      <w:r>
        <w:rPr>
          <w:rFonts w:hint="eastAsia"/>
          <w:b/>
          <w:bCs/>
          <w:sz w:val="28"/>
          <w:szCs w:val="28"/>
          <w:lang w:val="en-US" w:eastAsia="zh-CN"/>
        </w:rPr>
        <w:t xml:space="preserve">   </w:t>
      </w:r>
      <w:r>
        <w:rPr>
          <w:rFonts w:hint="eastAsia"/>
          <w:b w:val="0"/>
          <w:bCs w:val="0"/>
          <w:sz w:val="24"/>
          <w:szCs w:val="24"/>
          <w:lang w:val="en-US" w:eastAsia="zh-CN"/>
        </w:rPr>
        <w:t>粉体合成实验室主要开展以化学法制备各类粉体及对其相关性能进行研究的实验，主要实验项目有：</w:t>
      </w:r>
    </w:p>
    <w:p>
      <w:pPr>
        <w:pStyle w:val="4"/>
        <w:numPr>
          <w:ilvl w:val="0"/>
          <w:numId w:val="3"/>
        </w:numPr>
        <w:rPr>
          <w:rFonts w:hint="default"/>
          <w:sz w:val="24"/>
          <w:szCs w:val="24"/>
          <w:lang w:val="en-US" w:eastAsia="zh-CN"/>
        </w:rPr>
      </w:pPr>
      <w:r>
        <w:rPr>
          <w:rFonts w:hint="eastAsia"/>
          <w:sz w:val="24"/>
          <w:szCs w:val="24"/>
          <w:lang w:eastAsia="zh-CN"/>
        </w:rPr>
        <w:t>共沉淀法制备</w:t>
      </w:r>
      <w:r>
        <w:rPr>
          <w:rFonts w:hint="eastAsia"/>
          <w:sz w:val="24"/>
          <w:szCs w:val="24"/>
          <w:lang w:val="en-US" w:eastAsia="zh-CN"/>
        </w:rPr>
        <w:t>BaTiO</w:t>
      </w:r>
      <w:r>
        <w:rPr>
          <w:rFonts w:hint="eastAsia"/>
          <w:sz w:val="24"/>
          <w:szCs w:val="24"/>
          <w:vertAlign w:val="subscript"/>
          <w:lang w:val="en-US" w:eastAsia="zh-CN"/>
        </w:rPr>
        <w:t>3</w:t>
      </w:r>
      <w:r>
        <w:rPr>
          <w:rFonts w:hint="eastAsia"/>
          <w:sz w:val="24"/>
          <w:szCs w:val="24"/>
          <w:lang w:val="en-US" w:eastAsia="zh-CN"/>
        </w:rPr>
        <w:t>微粉</w:t>
      </w:r>
    </w:p>
    <w:p>
      <w:pPr>
        <w:pStyle w:val="4"/>
        <w:numPr>
          <w:ilvl w:val="0"/>
          <w:numId w:val="3"/>
        </w:numPr>
        <w:rPr>
          <w:rFonts w:hint="default"/>
          <w:sz w:val="24"/>
          <w:szCs w:val="24"/>
          <w:lang w:val="en-US" w:eastAsia="zh-CN"/>
        </w:rPr>
      </w:pPr>
      <w:r>
        <w:rPr>
          <w:rFonts w:hint="eastAsia"/>
          <w:sz w:val="24"/>
          <w:szCs w:val="24"/>
          <w:lang w:val="en-US" w:eastAsia="zh-CN"/>
        </w:rPr>
        <w:t>苯乙烯悬浮聚合及性能</w:t>
      </w:r>
    </w:p>
    <w:p>
      <w:pPr>
        <w:pStyle w:val="4"/>
        <w:numPr>
          <w:ilvl w:val="0"/>
          <w:numId w:val="3"/>
        </w:numPr>
        <w:rPr>
          <w:rFonts w:hint="default"/>
          <w:sz w:val="24"/>
          <w:szCs w:val="24"/>
          <w:lang w:val="en-US" w:eastAsia="zh-CN"/>
        </w:rPr>
      </w:pPr>
      <w:r>
        <w:rPr>
          <w:rFonts w:hint="eastAsia"/>
          <w:sz w:val="24"/>
          <w:szCs w:val="24"/>
          <w:lang w:val="en-US" w:eastAsia="zh-CN"/>
        </w:rPr>
        <w:t>溶胶-凝胶法制备氧化钛纳米粉体</w:t>
      </w:r>
    </w:p>
    <w:p>
      <w:pPr>
        <w:pStyle w:val="4"/>
        <w:numPr>
          <w:ilvl w:val="0"/>
          <w:numId w:val="3"/>
        </w:numPr>
        <w:rPr>
          <w:rFonts w:hint="default"/>
          <w:sz w:val="24"/>
          <w:szCs w:val="24"/>
          <w:lang w:val="en-US" w:eastAsia="zh-CN"/>
        </w:rPr>
      </w:pPr>
      <w:r>
        <w:rPr>
          <w:rFonts w:hint="eastAsia"/>
          <w:sz w:val="24"/>
          <w:szCs w:val="24"/>
          <w:lang w:val="en-US" w:eastAsia="zh-CN"/>
        </w:rPr>
        <w:t>浸渍法制备SiO2多孔泡沫陶瓷</w:t>
      </w:r>
    </w:p>
    <w:p>
      <w:pPr>
        <w:pStyle w:val="4"/>
        <w:numPr>
          <w:ilvl w:val="0"/>
          <w:numId w:val="3"/>
        </w:numPr>
        <w:rPr>
          <w:rFonts w:hint="default"/>
          <w:sz w:val="24"/>
          <w:szCs w:val="24"/>
          <w:lang w:val="en-US" w:eastAsia="zh-CN"/>
        </w:rPr>
      </w:pPr>
      <w:r>
        <w:rPr>
          <w:rFonts w:hint="eastAsia"/>
          <w:sz w:val="24"/>
          <w:szCs w:val="24"/>
          <w:lang w:val="en-US" w:eastAsia="zh-CN"/>
        </w:rPr>
        <w:t>微波水解法制备纳米ZnO及其气敏特性</w:t>
      </w:r>
    </w:p>
    <w:p>
      <w:pPr>
        <w:pStyle w:val="4"/>
        <w:numPr>
          <w:ilvl w:val="0"/>
          <w:numId w:val="3"/>
        </w:numPr>
        <w:rPr>
          <w:rFonts w:hint="default"/>
          <w:sz w:val="24"/>
          <w:szCs w:val="24"/>
          <w:lang w:val="en-US" w:eastAsia="zh-CN"/>
        </w:rPr>
      </w:pPr>
      <w:r>
        <w:rPr>
          <w:rFonts w:hint="eastAsia"/>
          <w:sz w:val="24"/>
          <w:szCs w:val="24"/>
          <w:lang w:val="en-US" w:eastAsia="zh-CN"/>
        </w:rPr>
        <w:t>油水界面合成CdS空心球及其光学性能研究</w:t>
      </w:r>
    </w:p>
    <w:p>
      <w:pPr>
        <w:pStyle w:val="4"/>
        <w:spacing w:line="360" w:lineRule="exact"/>
        <w:ind w:left="360" w:firstLine="0" w:firstLineChars="0"/>
        <w:rPr>
          <w:rFonts w:hint="eastAsia"/>
          <w:sz w:val="24"/>
          <w:szCs w:val="24"/>
        </w:rPr>
      </w:pPr>
    </w:p>
    <w:p>
      <w:pPr>
        <w:pStyle w:val="4"/>
        <w:numPr>
          <w:ilvl w:val="0"/>
          <w:numId w:val="1"/>
        </w:numPr>
        <w:spacing w:line="360" w:lineRule="exact"/>
        <w:ind w:firstLineChars="0"/>
        <w:rPr>
          <w:rFonts w:hint="eastAsia"/>
          <w:b/>
          <w:bCs/>
          <w:sz w:val="28"/>
          <w:szCs w:val="28"/>
        </w:rPr>
      </w:pPr>
      <w:r>
        <w:rPr>
          <w:rFonts w:hint="eastAsia"/>
          <w:b/>
          <w:bCs/>
          <w:sz w:val="28"/>
          <w:szCs w:val="28"/>
        </w:rPr>
        <w:t>粉体工艺实验室</w:t>
      </w:r>
    </w:p>
    <w:p>
      <w:pPr>
        <w:pStyle w:val="4"/>
        <w:numPr>
          <w:ilvl w:val="0"/>
          <w:numId w:val="0"/>
        </w:numPr>
        <w:spacing w:line="360" w:lineRule="exact"/>
        <w:ind w:leftChars="0" w:firstLine="480"/>
        <w:rPr>
          <w:rFonts w:hint="eastAsia"/>
          <w:sz w:val="24"/>
          <w:szCs w:val="24"/>
          <w:lang w:val="en-US" w:eastAsia="zh-CN"/>
        </w:rPr>
      </w:pPr>
      <w:r>
        <w:rPr>
          <w:rFonts w:hint="eastAsia"/>
          <w:sz w:val="24"/>
          <w:szCs w:val="24"/>
          <w:lang w:val="en-US" w:eastAsia="zh-CN"/>
        </w:rPr>
        <w:t>粉体工艺实验室主要开展粉体改性及应用工艺研究、专题研究训练、粉体制备创新性实验等，主要实验项目有：</w:t>
      </w:r>
    </w:p>
    <w:p>
      <w:pPr>
        <w:pStyle w:val="4"/>
        <w:numPr>
          <w:ilvl w:val="0"/>
          <w:numId w:val="4"/>
        </w:numPr>
        <w:spacing w:line="360" w:lineRule="exact"/>
        <w:rPr>
          <w:rFonts w:hint="eastAsia"/>
          <w:sz w:val="24"/>
          <w:szCs w:val="24"/>
          <w:lang w:val="en-US" w:eastAsia="zh-CN"/>
        </w:rPr>
      </w:pPr>
      <w:r>
        <w:rPr>
          <w:rFonts w:hint="eastAsia"/>
          <w:sz w:val="24"/>
          <w:szCs w:val="24"/>
          <w:lang w:val="en-US" w:eastAsia="zh-CN"/>
        </w:rPr>
        <w:t>粉体表面硅烷化改性及改性效果指标测试</w:t>
      </w:r>
    </w:p>
    <w:p>
      <w:pPr>
        <w:pStyle w:val="4"/>
        <w:numPr>
          <w:ilvl w:val="0"/>
          <w:numId w:val="4"/>
        </w:numPr>
        <w:spacing w:line="360" w:lineRule="exact"/>
        <w:rPr>
          <w:rFonts w:hint="default"/>
          <w:sz w:val="24"/>
          <w:szCs w:val="24"/>
          <w:lang w:val="en-US" w:eastAsia="zh-CN"/>
        </w:rPr>
      </w:pPr>
      <w:r>
        <w:rPr>
          <w:rFonts w:hint="eastAsia"/>
          <w:sz w:val="24"/>
          <w:szCs w:val="24"/>
          <w:lang w:val="en-US" w:eastAsia="zh-CN"/>
        </w:rPr>
        <w:t>TiO2/蒙脱石复合粉体制备研究综合实验</w:t>
      </w:r>
    </w:p>
    <w:p>
      <w:pPr>
        <w:pStyle w:val="4"/>
        <w:numPr>
          <w:ilvl w:val="0"/>
          <w:numId w:val="4"/>
        </w:numPr>
        <w:spacing w:line="360" w:lineRule="exact"/>
        <w:rPr>
          <w:rFonts w:hint="default"/>
          <w:sz w:val="24"/>
          <w:szCs w:val="24"/>
          <w:lang w:val="en-US" w:eastAsia="zh-CN"/>
        </w:rPr>
      </w:pPr>
      <w:r>
        <w:rPr>
          <w:rFonts w:hint="eastAsia"/>
          <w:sz w:val="24"/>
          <w:szCs w:val="24"/>
          <w:lang w:val="en-US" w:eastAsia="zh-CN"/>
        </w:rPr>
        <w:t>一维纳米氧化锌粉体制备研究综合实验</w:t>
      </w:r>
    </w:p>
    <w:p>
      <w:pPr>
        <w:pStyle w:val="4"/>
        <w:numPr>
          <w:ilvl w:val="0"/>
          <w:numId w:val="4"/>
        </w:numPr>
        <w:spacing w:line="360" w:lineRule="exact"/>
        <w:rPr>
          <w:rFonts w:hint="default"/>
          <w:sz w:val="24"/>
          <w:szCs w:val="24"/>
          <w:lang w:val="en-US" w:eastAsia="zh-CN"/>
        </w:rPr>
      </w:pPr>
      <w:r>
        <w:rPr>
          <w:rFonts w:hint="eastAsia"/>
          <w:sz w:val="24"/>
          <w:szCs w:val="24"/>
          <w:lang w:val="en-US" w:eastAsia="zh-CN"/>
        </w:rPr>
        <w:t>粉体均化及造粒实验</w:t>
      </w:r>
    </w:p>
    <w:p>
      <w:pPr>
        <w:pStyle w:val="4"/>
        <w:numPr>
          <w:ilvl w:val="0"/>
          <w:numId w:val="4"/>
        </w:numPr>
        <w:spacing w:line="360" w:lineRule="exact"/>
        <w:rPr>
          <w:rFonts w:hint="default"/>
          <w:sz w:val="24"/>
          <w:szCs w:val="24"/>
          <w:lang w:val="en-US" w:eastAsia="zh-CN"/>
        </w:rPr>
      </w:pPr>
      <w:r>
        <w:rPr>
          <w:rFonts w:hint="eastAsia"/>
          <w:sz w:val="24"/>
          <w:szCs w:val="24"/>
          <w:lang w:val="en-US" w:eastAsia="zh-CN"/>
        </w:rPr>
        <w:t>碳酸钙超细粉体干法分级实验</w:t>
      </w:r>
    </w:p>
    <w:p>
      <w:pPr>
        <w:pStyle w:val="4"/>
        <w:numPr>
          <w:ilvl w:val="0"/>
          <w:numId w:val="4"/>
        </w:numPr>
        <w:spacing w:line="360" w:lineRule="exact"/>
        <w:rPr>
          <w:rFonts w:hint="default"/>
          <w:sz w:val="24"/>
          <w:szCs w:val="24"/>
          <w:lang w:val="en-US" w:eastAsia="zh-CN"/>
        </w:rPr>
      </w:pPr>
      <w:r>
        <w:rPr>
          <w:rFonts w:hint="eastAsia"/>
          <w:sz w:val="24"/>
          <w:szCs w:val="24"/>
          <w:lang w:val="en-US" w:eastAsia="zh-CN"/>
        </w:rPr>
        <w:t>凹凸棒石超细粉体水力分级实验</w:t>
      </w:r>
    </w:p>
    <w:p>
      <w:pPr>
        <w:pStyle w:val="4"/>
        <w:spacing w:line="360" w:lineRule="exact"/>
        <w:ind w:left="360" w:firstLine="0" w:firstLineChars="0"/>
        <w:rPr>
          <w:rFonts w:hint="eastAsia"/>
          <w:sz w:val="24"/>
          <w:szCs w:val="24"/>
        </w:rPr>
      </w:pPr>
    </w:p>
    <w:p>
      <w:pPr>
        <w:pStyle w:val="4"/>
        <w:spacing w:line="360" w:lineRule="exact"/>
        <w:ind w:left="360" w:firstLine="0" w:firstLineChars="0"/>
        <w:rPr>
          <w:rFonts w:hint="eastAsia"/>
          <w:sz w:val="24"/>
          <w:szCs w:val="24"/>
        </w:rPr>
      </w:pPr>
    </w:p>
    <w:p>
      <w:pPr>
        <w:pStyle w:val="4"/>
        <w:numPr>
          <w:ilvl w:val="0"/>
          <w:numId w:val="1"/>
        </w:numPr>
        <w:spacing w:line="360" w:lineRule="exact"/>
        <w:ind w:firstLineChars="0"/>
        <w:rPr>
          <w:rFonts w:hint="eastAsia"/>
          <w:b/>
          <w:bCs/>
          <w:sz w:val="28"/>
          <w:szCs w:val="28"/>
        </w:rPr>
      </w:pPr>
      <w:r>
        <w:rPr>
          <w:rFonts w:hint="eastAsia"/>
          <w:b/>
          <w:bCs/>
          <w:sz w:val="28"/>
          <w:szCs w:val="28"/>
        </w:rPr>
        <w:t>粉体性能测试实验室</w:t>
      </w:r>
    </w:p>
    <w:p>
      <w:pPr>
        <w:pStyle w:val="4"/>
        <w:spacing w:line="360" w:lineRule="exact"/>
        <w:ind w:left="360" w:firstLine="0" w:firstLineChars="0"/>
        <w:rPr>
          <w:rFonts w:hint="eastAsia"/>
          <w:sz w:val="24"/>
          <w:szCs w:val="24"/>
        </w:rPr>
      </w:pPr>
      <w:r>
        <w:rPr>
          <w:rFonts w:hint="eastAsia"/>
          <w:sz w:val="24"/>
          <w:szCs w:val="24"/>
        </w:rPr>
        <w:t>粉体性能测试实验室主要开展粉体</w:t>
      </w:r>
      <w:r>
        <w:rPr>
          <w:rFonts w:hint="eastAsia"/>
          <w:sz w:val="24"/>
          <w:szCs w:val="24"/>
          <w:lang w:eastAsia="zh-CN"/>
        </w:rPr>
        <w:t>材料物理和化学性能测试</w:t>
      </w:r>
      <w:r>
        <w:rPr>
          <w:rFonts w:hint="eastAsia"/>
          <w:sz w:val="24"/>
          <w:szCs w:val="24"/>
        </w:rPr>
        <w:t>相关实验，主要实验项目有：</w:t>
      </w:r>
    </w:p>
    <w:p>
      <w:pPr>
        <w:numPr>
          <w:ilvl w:val="0"/>
          <w:numId w:val="5"/>
        </w:numPr>
        <w:ind w:left="-210" w:leftChars="0" w:firstLine="42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材料的</w:t>
      </w:r>
      <w:r>
        <w:rPr>
          <w:rFonts w:hint="eastAsia" w:cstheme="minorBidi"/>
          <w:kern w:val="2"/>
          <w:sz w:val="24"/>
          <w:szCs w:val="24"/>
          <w:lang w:val="en-US" w:eastAsia="zh-CN" w:bidi="ar-SA"/>
        </w:rPr>
        <w:t>力学性能（</w:t>
      </w:r>
      <w:r>
        <w:rPr>
          <w:rFonts w:hint="eastAsia" w:asciiTheme="minorHAnsi" w:hAnsiTheme="minorHAnsi" w:eastAsiaTheme="minorEastAsia" w:cstheme="minorBidi"/>
          <w:kern w:val="2"/>
          <w:sz w:val="24"/>
          <w:szCs w:val="24"/>
          <w:lang w:val="en-US" w:eastAsia="zh-CN" w:bidi="ar-SA"/>
        </w:rPr>
        <w:t>拉伸</w:t>
      </w:r>
      <w:r>
        <w:rPr>
          <w:rFonts w:hint="eastAsia" w:cstheme="minorBidi"/>
          <w:kern w:val="2"/>
          <w:sz w:val="24"/>
          <w:szCs w:val="24"/>
          <w:lang w:val="en-US" w:eastAsia="zh-CN" w:bidi="ar-SA"/>
        </w:rPr>
        <w:t>、压缩、扭转、弯曲）</w:t>
      </w:r>
      <w:r>
        <w:rPr>
          <w:rFonts w:hint="eastAsia" w:asciiTheme="minorHAnsi" w:hAnsiTheme="minorHAnsi" w:eastAsiaTheme="minorEastAsia" w:cstheme="minorBidi"/>
          <w:kern w:val="2"/>
          <w:sz w:val="24"/>
          <w:szCs w:val="24"/>
          <w:lang w:val="en-US" w:eastAsia="zh-CN" w:bidi="ar-SA"/>
        </w:rPr>
        <w:t>试验实验</w:t>
      </w:r>
    </w:p>
    <w:p>
      <w:pPr>
        <w:numPr>
          <w:ilvl w:val="0"/>
          <w:numId w:val="5"/>
        </w:numPr>
        <w:ind w:left="-210" w:leftChars="0" w:firstLine="42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粉体材料的显微粒度及微观形貌测试</w:t>
      </w:r>
    </w:p>
    <w:p>
      <w:pPr>
        <w:numPr>
          <w:ilvl w:val="0"/>
          <w:numId w:val="5"/>
        </w:numPr>
        <w:ind w:left="-210" w:leftChars="0" w:firstLine="42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材料的光催化性能测试</w:t>
      </w:r>
    </w:p>
    <w:p>
      <w:pPr>
        <w:numPr>
          <w:ilvl w:val="0"/>
          <w:numId w:val="5"/>
        </w:numPr>
        <w:ind w:left="-210" w:leftChars="0" w:firstLine="420" w:firstLineChars="0"/>
        <w:rPr>
          <w:rFonts w:hint="eastAsia" w:asciiTheme="minorHAnsi" w:hAnsiTheme="minorHAnsi" w:eastAsiaTheme="minorEastAsia" w:cstheme="minorBidi"/>
          <w:kern w:val="2"/>
          <w:sz w:val="24"/>
          <w:szCs w:val="24"/>
          <w:lang w:val="en-US" w:eastAsia="zh-CN" w:bidi="ar-SA"/>
        </w:rPr>
      </w:pPr>
      <w:r>
        <w:rPr>
          <w:rFonts w:hint="eastAsia" w:cstheme="minorBidi"/>
          <w:kern w:val="2"/>
          <w:sz w:val="24"/>
          <w:szCs w:val="24"/>
          <w:lang w:val="en-US" w:eastAsia="zh-CN" w:bidi="ar-SA"/>
        </w:rPr>
        <w:t>粉体白度测试</w:t>
      </w:r>
    </w:p>
    <w:p>
      <w:pPr>
        <w:numPr>
          <w:ilvl w:val="0"/>
          <w:numId w:val="5"/>
        </w:numPr>
        <w:ind w:left="-210" w:leftChars="0" w:firstLine="420" w:firstLineChars="0"/>
        <w:rPr>
          <w:rFonts w:hint="eastAsia" w:asciiTheme="minorHAnsi" w:hAnsiTheme="minorHAnsi" w:eastAsiaTheme="minorEastAsia" w:cstheme="minorBidi"/>
          <w:kern w:val="2"/>
          <w:sz w:val="24"/>
          <w:szCs w:val="24"/>
          <w:lang w:val="en-US" w:eastAsia="zh-CN" w:bidi="ar-SA"/>
        </w:rPr>
      </w:pPr>
      <w:r>
        <w:rPr>
          <w:rFonts w:hint="eastAsia" w:cstheme="minorBidi"/>
          <w:kern w:val="2"/>
          <w:sz w:val="24"/>
          <w:szCs w:val="24"/>
          <w:lang w:val="en-US" w:eastAsia="zh-CN" w:bidi="ar-SA"/>
        </w:rPr>
        <w:t>粉体比表面积测试</w:t>
      </w:r>
    </w:p>
    <w:p>
      <w:pPr>
        <w:numPr>
          <w:ilvl w:val="0"/>
          <w:numId w:val="5"/>
        </w:numPr>
        <w:ind w:left="-210" w:leftChars="0" w:firstLine="420" w:firstLineChars="0"/>
        <w:rPr>
          <w:rFonts w:hint="eastAsia" w:asciiTheme="minorHAnsi" w:hAnsiTheme="minorHAnsi" w:eastAsiaTheme="minorEastAsia" w:cstheme="minorBidi"/>
          <w:kern w:val="2"/>
          <w:sz w:val="24"/>
          <w:szCs w:val="24"/>
          <w:lang w:val="en-US" w:eastAsia="zh-CN" w:bidi="ar-SA"/>
        </w:rPr>
      </w:pPr>
      <w:r>
        <w:rPr>
          <w:rFonts w:hint="eastAsia" w:cstheme="minorBidi"/>
          <w:kern w:val="2"/>
          <w:sz w:val="24"/>
          <w:szCs w:val="24"/>
          <w:lang w:val="en-US" w:eastAsia="zh-CN" w:bidi="ar-SA"/>
        </w:rPr>
        <w:t>粉体流动性测试</w:t>
      </w:r>
    </w:p>
    <w:p>
      <w:pPr>
        <w:numPr>
          <w:ilvl w:val="0"/>
          <w:numId w:val="5"/>
        </w:numPr>
        <w:ind w:left="-210" w:leftChars="0" w:firstLine="420" w:firstLineChars="0"/>
        <w:rPr>
          <w:rFonts w:hint="eastAsia" w:asciiTheme="minorHAnsi" w:hAnsiTheme="minorHAnsi" w:eastAsiaTheme="minorEastAsia" w:cstheme="minorBidi"/>
          <w:kern w:val="2"/>
          <w:sz w:val="24"/>
          <w:szCs w:val="24"/>
          <w:lang w:val="en-US" w:eastAsia="zh-CN" w:bidi="ar-SA"/>
        </w:rPr>
      </w:pPr>
      <w:r>
        <w:rPr>
          <w:rFonts w:hint="eastAsia" w:cstheme="minorBidi"/>
          <w:kern w:val="2"/>
          <w:sz w:val="24"/>
          <w:szCs w:val="24"/>
          <w:lang w:val="en-US" w:eastAsia="zh-CN" w:bidi="ar-SA"/>
        </w:rPr>
        <w:t>粉体吸油率测试</w:t>
      </w:r>
    </w:p>
    <w:p>
      <w:pPr>
        <w:numPr>
          <w:ilvl w:val="0"/>
          <w:numId w:val="0"/>
        </w:numPr>
        <w:ind w:left="210" w:leftChars="0"/>
        <w:rPr>
          <w:rFonts w:hint="eastAsia" w:asciiTheme="minorHAnsi" w:hAnsiTheme="minorHAnsi" w:eastAsiaTheme="minorEastAsia" w:cstheme="minorBidi"/>
          <w:kern w:val="2"/>
          <w:sz w:val="24"/>
          <w:szCs w:val="24"/>
          <w:lang w:val="en-US" w:eastAsia="zh-CN" w:bidi="ar-SA"/>
        </w:rPr>
      </w:pPr>
    </w:p>
    <w:p>
      <w:pPr>
        <w:numPr>
          <w:ilvl w:val="0"/>
          <w:numId w:val="0"/>
        </w:numPr>
        <w:ind w:left="210" w:leftChars="0"/>
        <w:rPr>
          <w:rFonts w:hint="eastAsia"/>
        </w:rPr>
      </w:pPr>
    </w:p>
    <w:p>
      <w:pPr>
        <w:pStyle w:val="4"/>
        <w:spacing w:line="360" w:lineRule="exact"/>
        <w:ind w:left="360" w:firstLine="0" w:firstLineChars="0"/>
        <w:rPr>
          <w:rFonts w:hint="eastAsia"/>
          <w:sz w:val="24"/>
          <w:szCs w:val="24"/>
        </w:rPr>
      </w:pPr>
    </w:p>
    <w:p>
      <w:pPr>
        <w:pStyle w:val="4"/>
        <w:numPr>
          <w:ilvl w:val="0"/>
          <w:numId w:val="1"/>
        </w:numPr>
        <w:spacing w:line="360" w:lineRule="exact"/>
        <w:ind w:firstLineChars="0"/>
        <w:rPr>
          <w:rFonts w:hint="eastAsia"/>
          <w:b/>
          <w:bCs/>
          <w:sz w:val="28"/>
          <w:szCs w:val="28"/>
        </w:rPr>
      </w:pPr>
      <w:r>
        <w:rPr>
          <w:rFonts w:hint="eastAsia"/>
          <w:b/>
          <w:bCs/>
          <w:sz w:val="28"/>
          <w:szCs w:val="28"/>
        </w:rPr>
        <w:t>粉体工程应用实验室</w:t>
      </w:r>
    </w:p>
    <w:p>
      <w:pPr>
        <w:pStyle w:val="4"/>
        <w:numPr>
          <w:ilvl w:val="0"/>
          <w:numId w:val="0"/>
        </w:numPr>
        <w:spacing w:line="360" w:lineRule="exact"/>
        <w:ind w:leftChars="0"/>
        <w:rPr>
          <w:rFonts w:hint="eastAsia"/>
          <w:sz w:val="24"/>
          <w:szCs w:val="24"/>
          <w:lang w:val="en-US" w:eastAsia="zh-CN"/>
        </w:rPr>
      </w:pPr>
      <w:r>
        <w:rPr>
          <w:rFonts w:hint="eastAsia"/>
          <w:sz w:val="24"/>
          <w:szCs w:val="24"/>
          <w:lang w:val="en-US" w:eastAsia="zh-CN"/>
        </w:rPr>
        <w:t xml:space="preserve">   粉体工程应用实验室主要开展粉体的工程化应用、新材料中试实验、粉体成型工艺等相关实验实训项目。可开展的实验项目有：</w:t>
      </w:r>
    </w:p>
    <w:p>
      <w:pPr>
        <w:pStyle w:val="4"/>
        <w:numPr>
          <w:ilvl w:val="0"/>
          <w:numId w:val="6"/>
        </w:numPr>
        <w:spacing w:line="360" w:lineRule="exact"/>
        <w:ind w:leftChars="0"/>
        <w:rPr>
          <w:rFonts w:hint="eastAsia"/>
          <w:sz w:val="24"/>
          <w:szCs w:val="24"/>
          <w:lang w:val="en-US" w:eastAsia="zh-CN"/>
        </w:rPr>
      </w:pPr>
      <w:r>
        <w:rPr>
          <w:rFonts w:hint="eastAsia"/>
          <w:sz w:val="24"/>
          <w:szCs w:val="24"/>
          <w:lang w:val="en-US" w:eastAsia="zh-CN"/>
        </w:rPr>
        <w:t>材料冷等静压成型实验</w:t>
      </w:r>
    </w:p>
    <w:p>
      <w:pPr>
        <w:pStyle w:val="4"/>
        <w:numPr>
          <w:ilvl w:val="0"/>
          <w:numId w:val="6"/>
        </w:numPr>
        <w:spacing w:line="360" w:lineRule="exact"/>
        <w:ind w:leftChars="0"/>
        <w:rPr>
          <w:rFonts w:hint="default"/>
          <w:sz w:val="24"/>
          <w:szCs w:val="24"/>
          <w:lang w:val="en-US" w:eastAsia="zh-CN"/>
        </w:rPr>
      </w:pPr>
      <w:r>
        <w:rPr>
          <w:rFonts w:hint="eastAsia"/>
          <w:sz w:val="24"/>
          <w:szCs w:val="24"/>
          <w:lang w:val="en-US" w:eastAsia="zh-CN"/>
        </w:rPr>
        <w:t>粉体在聚合物中的流变性能实验</w:t>
      </w:r>
    </w:p>
    <w:p>
      <w:pPr>
        <w:pStyle w:val="4"/>
        <w:numPr>
          <w:ilvl w:val="0"/>
          <w:numId w:val="6"/>
        </w:numPr>
        <w:spacing w:line="360" w:lineRule="exact"/>
        <w:ind w:leftChars="0"/>
        <w:rPr>
          <w:rFonts w:hint="default"/>
          <w:sz w:val="24"/>
          <w:szCs w:val="24"/>
          <w:lang w:val="en-US" w:eastAsia="zh-CN"/>
        </w:rPr>
      </w:pPr>
      <w:r>
        <w:rPr>
          <w:rFonts w:hint="eastAsia"/>
          <w:sz w:val="24"/>
          <w:szCs w:val="24"/>
          <w:lang w:val="en-US" w:eastAsia="zh-CN"/>
        </w:rPr>
        <w:t>粉体/聚合物线型材料制备工程实训</w:t>
      </w:r>
    </w:p>
    <w:p>
      <w:pPr>
        <w:pStyle w:val="4"/>
        <w:numPr>
          <w:ilvl w:val="0"/>
          <w:numId w:val="6"/>
        </w:numPr>
        <w:spacing w:line="360" w:lineRule="exact"/>
        <w:ind w:leftChars="0"/>
        <w:rPr>
          <w:rFonts w:hint="default"/>
          <w:sz w:val="24"/>
          <w:szCs w:val="24"/>
          <w:lang w:val="en-US" w:eastAsia="zh-CN"/>
        </w:rPr>
      </w:pPr>
      <w:r>
        <w:rPr>
          <w:rFonts w:hint="eastAsia"/>
          <w:sz w:val="24"/>
          <w:szCs w:val="24"/>
          <w:lang w:val="en-US" w:eastAsia="zh-CN"/>
        </w:rPr>
        <w:t>塑料母粒制备工程实训</w:t>
      </w:r>
    </w:p>
    <w:p>
      <w:pPr>
        <w:pStyle w:val="4"/>
        <w:numPr>
          <w:ilvl w:val="0"/>
          <w:numId w:val="6"/>
        </w:numPr>
        <w:spacing w:line="360" w:lineRule="exact"/>
        <w:ind w:leftChars="0"/>
        <w:rPr>
          <w:rFonts w:hint="default"/>
          <w:sz w:val="24"/>
          <w:szCs w:val="24"/>
          <w:lang w:val="en-US" w:eastAsia="zh-CN"/>
        </w:rPr>
      </w:pPr>
      <w:r>
        <w:rPr>
          <w:rFonts w:hint="eastAsia"/>
          <w:sz w:val="24"/>
          <w:szCs w:val="24"/>
          <w:lang w:val="en-US" w:eastAsia="zh-CN"/>
        </w:rPr>
        <w:t>材料韧性测试实验</w:t>
      </w:r>
    </w:p>
    <w:p>
      <w:pPr>
        <w:pStyle w:val="4"/>
        <w:numPr>
          <w:ilvl w:val="0"/>
          <w:numId w:val="0"/>
        </w:numPr>
        <w:spacing w:line="360" w:lineRule="exact"/>
        <w:ind w:leftChars="200"/>
        <w:rPr>
          <w:rFonts w:hint="eastAsia"/>
          <w:sz w:val="24"/>
          <w:szCs w:val="24"/>
          <w:lang w:val="en-US" w:eastAsia="zh-CN"/>
        </w:rPr>
      </w:pPr>
    </w:p>
    <w:p>
      <w:pPr>
        <w:pStyle w:val="4"/>
        <w:numPr>
          <w:ilvl w:val="0"/>
          <w:numId w:val="0"/>
        </w:numPr>
        <w:spacing w:line="240" w:lineRule="auto"/>
        <w:ind w:leftChars="200"/>
        <w:rPr>
          <w:rFonts w:hint="default"/>
          <w:sz w:val="24"/>
          <w:szCs w:val="24"/>
          <w:lang w:val="en-US" w:eastAsia="zh-CN"/>
        </w:rPr>
      </w:pPr>
      <w:r>
        <w:rPr>
          <w:rFonts w:hint="default"/>
          <w:sz w:val="24"/>
          <w:szCs w:val="24"/>
          <w:lang w:val="en-US" w:eastAsia="zh-CN"/>
        </w:rPr>
        <w:drawing>
          <wp:inline distT="0" distB="0" distL="114300" distR="114300">
            <wp:extent cx="5274310" cy="3955415"/>
            <wp:effectExtent l="0" t="0" r="2540" b="6985"/>
            <wp:docPr id="10" name="图片 10" descr="微信图片_2022052409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20524090337"/>
                    <pic:cNvPicPr>
                      <a:picLocks noChangeAspect="1"/>
                    </pic:cNvPicPr>
                  </pic:nvPicPr>
                  <pic:blipFill>
                    <a:blip r:embed="rId4"/>
                    <a:stretch>
                      <a:fillRect/>
                    </a:stretch>
                  </pic:blipFill>
                  <pic:spPr>
                    <a:xfrm>
                      <a:off x="0" y="0"/>
                      <a:ext cx="5274310" cy="3955415"/>
                    </a:xfrm>
                    <a:prstGeom prst="rect">
                      <a:avLst/>
                    </a:prstGeom>
                  </pic:spPr>
                </pic:pic>
              </a:graphicData>
            </a:graphic>
          </wp:inline>
        </w:drawing>
      </w:r>
    </w:p>
    <w:p>
      <w:pPr>
        <w:pStyle w:val="4"/>
        <w:numPr>
          <w:ilvl w:val="0"/>
          <w:numId w:val="0"/>
        </w:numPr>
        <w:spacing w:line="360" w:lineRule="exact"/>
        <w:ind w:leftChars="200"/>
        <w:rPr>
          <w:rFonts w:hint="default"/>
          <w:sz w:val="24"/>
          <w:szCs w:val="24"/>
          <w:lang w:val="en-US" w:eastAsia="zh-CN"/>
        </w:rPr>
      </w:pPr>
    </w:p>
    <w:p>
      <w:pPr>
        <w:pStyle w:val="4"/>
        <w:numPr>
          <w:ilvl w:val="0"/>
          <w:numId w:val="0"/>
        </w:numPr>
        <w:spacing w:line="360" w:lineRule="exact"/>
        <w:ind w:leftChars="200"/>
        <w:rPr>
          <w:rFonts w:hint="default"/>
          <w:sz w:val="24"/>
          <w:szCs w:val="24"/>
          <w:lang w:val="en-US" w:eastAsia="zh-CN"/>
        </w:rPr>
      </w:pPr>
    </w:p>
    <w:p>
      <w:pPr>
        <w:jc w:val="center"/>
        <w:rPr>
          <w:b/>
          <w:sz w:val="30"/>
          <w:szCs w:val="30"/>
        </w:rPr>
      </w:pPr>
      <w:r>
        <w:rPr>
          <w:rFonts w:hint="eastAsia"/>
          <w:b/>
          <w:sz w:val="30"/>
          <w:szCs w:val="30"/>
        </w:rPr>
        <w:t>绿色助剂技术创新中心</w:t>
      </w:r>
    </w:p>
    <w:p>
      <w:pPr>
        <w:jc w:val="center"/>
        <w:rPr>
          <w:b/>
          <w:szCs w:val="21"/>
        </w:rPr>
      </w:pPr>
    </w:p>
    <w:p>
      <w:pPr>
        <w:rPr>
          <w:rFonts w:asciiTheme="minorEastAsia" w:hAnsiTheme="minorEastAsia"/>
          <w:b/>
          <w:sz w:val="28"/>
          <w:szCs w:val="28"/>
        </w:rPr>
      </w:pPr>
      <w:r>
        <w:rPr>
          <w:rFonts w:hint="eastAsia" w:asciiTheme="minorEastAsia" w:hAnsiTheme="minorEastAsia"/>
          <w:b/>
          <w:sz w:val="28"/>
          <w:szCs w:val="28"/>
        </w:rPr>
        <w:t>一、简介</w:t>
      </w:r>
    </w:p>
    <w:p>
      <w:pPr>
        <w:pStyle w:val="4"/>
        <w:numPr>
          <w:ilvl w:val="0"/>
          <w:numId w:val="0"/>
        </w:numPr>
        <w:spacing w:line="360" w:lineRule="exact"/>
        <w:ind w:leftChars="200" w:firstLine="480" w:firstLineChars="200"/>
        <w:jc w:val="left"/>
        <w:rPr>
          <w:rFonts w:hint="eastAsia"/>
          <w:sz w:val="24"/>
          <w:szCs w:val="24"/>
          <w:lang w:val="en-US" w:eastAsia="zh-CN"/>
        </w:rPr>
      </w:pPr>
      <w:r>
        <w:rPr>
          <w:rFonts w:hint="eastAsia"/>
          <w:sz w:val="24"/>
          <w:szCs w:val="24"/>
          <w:lang w:val="en-US" w:eastAsia="zh-CN"/>
        </w:rPr>
        <w:t>目前，安徽省有1千多家大大小小涂料相关企业，在十四五期间各类涂料产能将达到300万吨，产值近千亿，但涂料仍然是现代社会的第二大污染源。生产和使用绿色涂料是减少人为源挥发性有机化合物（VOCs）的重要措施，对我省减少碳排放发挥重要作用。</w:t>
      </w:r>
    </w:p>
    <w:p>
      <w:pPr>
        <w:pStyle w:val="4"/>
        <w:numPr>
          <w:ilvl w:val="0"/>
          <w:numId w:val="0"/>
        </w:numPr>
        <w:spacing w:line="360" w:lineRule="exact"/>
        <w:ind w:leftChars="200" w:firstLine="480" w:firstLineChars="200"/>
        <w:rPr>
          <w:rFonts w:hint="eastAsia"/>
          <w:sz w:val="24"/>
          <w:szCs w:val="24"/>
          <w:lang w:val="en-US" w:eastAsia="zh-CN"/>
        </w:rPr>
      </w:pPr>
      <w:r>
        <w:rPr>
          <w:rFonts w:hint="eastAsia"/>
          <w:sz w:val="24"/>
          <w:szCs w:val="24"/>
          <w:lang w:val="en-US" w:eastAsia="zh-CN"/>
        </w:rPr>
        <w:t>围绕绿色涂料性能普遍偏低的共性关键技术难题，由中德高校、著名企业共同组建了绿色助剂技术创新中心。通过对各种组成与形态结构的微纳米材料实行工程化的表面改性，掌握16种1000t/a高性能助剂产业化生产技术，可提高相关产品涂层的硬度、耐磨、抗刮、耐老化、耐化学腐蚀等性能，以及赋予涂层的导电、导热、抗菌、抗病毒、除甲醛、热反射等功能，满足我省汽车、3C、钠/锂离子动力电池、芯片、工程机械等行业使用高性能绿色涂料的需求，促进我省涂料及相关应用行业的绿色高质量发展。</w:t>
      </w:r>
    </w:p>
    <w:p>
      <w:pPr>
        <w:rPr>
          <w:b/>
          <w:sz w:val="28"/>
          <w:szCs w:val="28"/>
        </w:rPr>
      </w:pPr>
      <w:r>
        <w:rPr>
          <w:rFonts w:hint="eastAsia"/>
          <w:b/>
          <w:sz w:val="28"/>
          <w:szCs w:val="28"/>
        </w:rPr>
        <w:t>二、主要研究方向</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绿色涂料高性能助剂关键技术研究</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绿色涂料高性能助剂工程化开发与应用研究</w:t>
      </w:r>
    </w:p>
    <w:p>
      <w:pPr>
        <w:rPr>
          <w:rFonts w:asciiTheme="minorEastAsia" w:hAnsiTheme="minorEastAsia"/>
          <w:b/>
          <w:sz w:val="28"/>
          <w:szCs w:val="28"/>
        </w:rPr>
      </w:pPr>
      <w:r>
        <w:rPr>
          <w:rFonts w:hint="eastAsia" w:asciiTheme="minorEastAsia" w:hAnsiTheme="minorEastAsia"/>
          <w:b/>
          <w:sz w:val="28"/>
          <w:szCs w:val="28"/>
        </w:rPr>
        <w:t>三、人员及主要科研成果</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现有绿色涂料高性能助剂创新与应用专职科研人员60人，其中博士学位研发人员42人，副高级职称其以上研发人员31人，省“百人计划”1人，省“特支计划”创新人才2人。</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近3年相关研究与试验发展经费（R&amp;D）为805.77万元，其中横向科研经费总额为255.00万元，横向科研经费占研究与试验发展经费比重为31.65%。获得校外各类相关科技项目总数为57项，其中国家及省部级项目数为26项。</w:t>
      </w:r>
    </w:p>
    <w:p>
      <w:pPr>
        <w:jc w:val="center"/>
        <w:rPr>
          <w:rFonts w:asciiTheme="minorEastAsia" w:hAnsiTheme="minorEastAsia"/>
          <w:b/>
          <w:sz w:val="28"/>
          <w:szCs w:val="28"/>
        </w:rPr>
      </w:pPr>
      <w:r>
        <w:rPr>
          <w:rFonts w:asciiTheme="minorEastAsia" w:hAnsiTheme="minorEastAsia"/>
          <w:b/>
          <w:sz w:val="28"/>
          <w:szCs w:val="28"/>
        </w:rPr>
        <w:drawing>
          <wp:anchor distT="0" distB="0" distL="114300" distR="114300" simplePos="0" relativeHeight="251662336" behindDoc="0" locked="0" layoutInCell="1" allowOverlap="1">
            <wp:simplePos x="0" y="0"/>
            <wp:positionH relativeFrom="column">
              <wp:posOffset>2482850</wp:posOffset>
            </wp:positionH>
            <wp:positionV relativeFrom="paragraph">
              <wp:posOffset>294005</wp:posOffset>
            </wp:positionV>
            <wp:extent cx="1438275" cy="1989455"/>
            <wp:effectExtent l="0" t="0" r="9525" b="10795"/>
            <wp:wrapNone/>
            <wp:docPr id="57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18"/>
                    <pic:cNvPicPr>
                      <a:picLocks noChangeAspect="1" noChangeArrowheads="1"/>
                    </pic:cNvPicPr>
                  </pic:nvPicPr>
                  <pic:blipFill>
                    <a:blip r:embed="rId5">
                      <a:lum bright="10000"/>
                    </a:blip>
                    <a:srcRect/>
                    <a:stretch>
                      <a:fillRect/>
                    </a:stretch>
                  </pic:blipFill>
                  <pic:spPr>
                    <a:xfrm>
                      <a:off x="0" y="0"/>
                      <a:ext cx="1438275" cy="1989455"/>
                    </a:xfrm>
                    <a:prstGeom prst="rect">
                      <a:avLst/>
                    </a:prstGeom>
                    <a:noFill/>
                    <a:ln w="9525">
                      <a:noFill/>
                      <a:miter lim="800000"/>
                      <a:headEnd/>
                      <a:tailEnd/>
                    </a:ln>
                  </pic:spPr>
                </pic:pic>
              </a:graphicData>
            </a:graphic>
          </wp:anchor>
        </w:drawing>
      </w:r>
      <w:r>
        <w:rPr>
          <w:rFonts w:asciiTheme="minorEastAsia" w:hAnsiTheme="minorEastAsia"/>
          <w:b/>
          <w:sz w:val="28"/>
          <w:szCs w:val="28"/>
        </w:rPr>
        <w:drawing>
          <wp:anchor distT="0" distB="0" distL="114300" distR="114300" simplePos="0" relativeHeight="251661312" behindDoc="0" locked="0" layoutInCell="1" allowOverlap="1">
            <wp:simplePos x="0" y="0"/>
            <wp:positionH relativeFrom="column">
              <wp:posOffset>2033905</wp:posOffset>
            </wp:positionH>
            <wp:positionV relativeFrom="paragraph">
              <wp:posOffset>262890</wp:posOffset>
            </wp:positionV>
            <wp:extent cx="1438910" cy="2056130"/>
            <wp:effectExtent l="247650" t="154305" r="256540" b="170815"/>
            <wp:wrapNone/>
            <wp:docPr id="5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3"/>
                    <pic:cNvPicPr>
                      <a:picLocks noChangeAspect="1" noChangeArrowheads="1"/>
                    </pic:cNvPicPr>
                  </pic:nvPicPr>
                  <pic:blipFill>
                    <a:blip r:embed="rId6"/>
                    <a:srcRect/>
                    <a:stretch>
                      <a:fillRect/>
                    </a:stretch>
                  </pic:blipFill>
                  <pic:spPr>
                    <a:xfrm rot="20674645">
                      <a:off x="0" y="0"/>
                      <a:ext cx="1438910" cy="2056130"/>
                    </a:xfrm>
                    <a:prstGeom prst="rect">
                      <a:avLst/>
                    </a:prstGeom>
                    <a:noFill/>
                    <a:ln w="9525">
                      <a:noFill/>
                      <a:miter lim="800000"/>
                      <a:headEnd/>
                      <a:tailEnd/>
                    </a:ln>
                  </pic:spPr>
                </pic:pic>
              </a:graphicData>
            </a:graphic>
          </wp:anchor>
        </w:drawing>
      </w:r>
      <w:r>
        <w:rPr>
          <w:rFonts w:asciiTheme="minorEastAsia" w:hAnsiTheme="minorEastAsia"/>
          <w:b/>
          <w:sz w:val="28"/>
          <w:szCs w:val="28"/>
        </w:rPr>
        <w:drawing>
          <wp:anchor distT="0" distB="0" distL="114300" distR="114300" simplePos="0" relativeHeight="251660288" behindDoc="0" locked="0" layoutInCell="1" allowOverlap="1">
            <wp:simplePos x="0" y="0"/>
            <wp:positionH relativeFrom="column">
              <wp:posOffset>1597660</wp:posOffset>
            </wp:positionH>
            <wp:positionV relativeFrom="paragraph">
              <wp:posOffset>280670</wp:posOffset>
            </wp:positionV>
            <wp:extent cx="1455420" cy="2118995"/>
            <wp:effectExtent l="443865" t="223520" r="443865" b="229235"/>
            <wp:wrapNone/>
            <wp:docPr id="566"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480"/>
                    <pic:cNvPicPr>
                      <a:picLocks noChangeAspect="1" noChangeArrowheads="1"/>
                    </pic:cNvPicPr>
                  </pic:nvPicPr>
                  <pic:blipFill>
                    <a:blip r:embed="rId7"/>
                    <a:srcRect/>
                    <a:stretch>
                      <a:fillRect/>
                    </a:stretch>
                  </pic:blipFill>
                  <pic:spPr>
                    <a:xfrm rot="19726720">
                      <a:off x="0" y="0"/>
                      <a:ext cx="1455208" cy="2118995"/>
                    </a:xfrm>
                    <a:prstGeom prst="rect">
                      <a:avLst/>
                    </a:prstGeom>
                    <a:noFill/>
                    <a:ln w="9525">
                      <a:noFill/>
                      <a:miter lim="800000"/>
                      <a:headEnd/>
                      <a:tailEnd/>
                    </a:ln>
                  </pic:spPr>
                </pic:pic>
              </a:graphicData>
            </a:graphic>
          </wp:anchor>
        </w:drawing>
      </w:r>
      <w:r>
        <w:rPr>
          <w:rFonts w:asciiTheme="minorEastAsia" w:hAnsiTheme="minorEastAsia"/>
          <w:b/>
          <w:sz w:val="28"/>
          <w:szCs w:val="28"/>
        </w:rPr>
        <w:drawing>
          <wp:anchor distT="0" distB="0" distL="114300" distR="114300" simplePos="0" relativeHeight="251663360" behindDoc="0" locked="0" layoutInCell="1" allowOverlap="1">
            <wp:simplePos x="0" y="0"/>
            <wp:positionH relativeFrom="column">
              <wp:posOffset>3015615</wp:posOffset>
            </wp:positionH>
            <wp:positionV relativeFrom="paragraph">
              <wp:posOffset>353060</wp:posOffset>
            </wp:positionV>
            <wp:extent cx="1444625" cy="2014220"/>
            <wp:effectExtent l="276860" t="174625" r="278765" b="192405"/>
            <wp:wrapNone/>
            <wp:docPr id="5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19"/>
                    <pic:cNvPicPr>
                      <a:picLocks noChangeAspect="1" noChangeArrowheads="1"/>
                    </pic:cNvPicPr>
                  </pic:nvPicPr>
                  <pic:blipFill>
                    <a:blip r:embed="rId8">
                      <a:lum bright="10000"/>
                    </a:blip>
                    <a:srcRect/>
                    <a:stretch>
                      <a:fillRect/>
                    </a:stretch>
                  </pic:blipFill>
                  <pic:spPr>
                    <a:xfrm rot="1085265">
                      <a:off x="0" y="0"/>
                      <a:ext cx="1444625" cy="2014220"/>
                    </a:xfrm>
                    <a:prstGeom prst="rect">
                      <a:avLst/>
                    </a:prstGeom>
                    <a:noFill/>
                    <a:ln w="9525">
                      <a:noFill/>
                      <a:miter lim="800000"/>
                      <a:headEnd/>
                      <a:tailEnd/>
                    </a:ln>
                  </pic:spPr>
                </pic:pic>
              </a:graphicData>
            </a:graphic>
          </wp:anchor>
        </w:drawing>
      </w:r>
    </w:p>
    <w:p>
      <w:pPr>
        <w:jc w:val="center"/>
        <w:rPr>
          <w:rFonts w:asciiTheme="minorEastAsia" w:hAnsiTheme="minorEastAsia"/>
          <w:b/>
          <w:sz w:val="28"/>
          <w:szCs w:val="28"/>
        </w:rPr>
      </w:pPr>
      <w:r>
        <w:rPr>
          <w:rFonts w:asciiTheme="minorEastAsia" w:hAnsiTheme="minorEastAsia"/>
          <w:b/>
          <w:sz w:val="28"/>
          <w:szCs w:val="28"/>
        </w:rPr>
        <w:drawing>
          <wp:anchor distT="0" distB="0" distL="114300" distR="114300" simplePos="0" relativeHeight="251659264" behindDoc="0" locked="0" layoutInCell="1" allowOverlap="1">
            <wp:simplePos x="0" y="0"/>
            <wp:positionH relativeFrom="column">
              <wp:posOffset>1153160</wp:posOffset>
            </wp:positionH>
            <wp:positionV relativeFrom="paragraph">
              <wp:posOffset>13970</wp:posOffset>
            </wp:positionV>
            <wp:extent cx="1444625" cy="2054860"/>
            <wp:effectExtent l="227330" t="476885" r="232410" b="478790"/>
            <wp:wrapNone/>
            <wp:docPr id="5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2"/>
                    <pic:cNvPicPr>
                      <a:picLocks noChangeAspect="1" noChangeArrowheads="1"/>
                    </pic:cNvPicPr>
                  </pic:nvPicPr>
                  <pic:blipFill>
                    <a:blip r:embed="rId9"/>
                    <a:srcRect/>
                    <a:stretch>
                      <a:fillRect/>
                    </a:stretch>
                  </pic:blipFill>
                  <pic:spPr>
                    <a:xfrm rot="18454965">
                      <a:off x="0" y="0"/>
                      <a:ext cx="1444625" cy="2054860"/>
                    </a:xfrm>
                    <a:prstGeom prst="rect">
                      <a:avLst/>
                    </a:prstGeom>
                    <a:noFill/>
                    <a:ln w="9525">
                      <a:noFill/>
                      <a:miter lim="800000"/>
                      <a:headEnd/>
                      <a:tailEnd/>
                    </a:ln>
                  </pic:spPr>
                </pic:pic>
              </a:graphicData>
            </a:graphic>
          </wp:anchor>
        </w:drawing>
      </w:r>
      <w:r>
        <w:rPr>
          <w:rFonts w:asciiTheme="minorEastAsia" w:hAnsiTheme="minorEastAsia"/>
          <w:b/>
          <w:sz w:val="28"/>
          <w:szCs w:val="28"/>
        </w:rPr>
        <w:drawing>
          <wp:anchor distT="0" distB="0" distL="114300" distR="114300" simplePos="0" relativeHeight="251664384" behindDoc="0" locked="0" layoutInCell="1" allowOverlap="1">
            <wp:simplePos x="0" y="0"/>
            <wp:positionH relativeFrom="column">
              <wp:posOffset>3386455</wp:posOffset>
            </wp:positionH>
            <wp:positionV relativeFrom="paragraph">
              <wp:posOffset>176530</wp:posOffset>
            </wp:positionV>
            <wp:extent cx="1438910" cy="2105660"/>
            <wp:effectExtent l="490220" t="220980" r="490220" b="226060"/>
            <wp:wrapNone/>
            <wp:docPr id="57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20"/>
                    <pic:cNvPicPr>
                      <a:picLocks noChangeAspect="1" noChangeArrowheads="1"/>
                    </pic:cNvPicPr>
                  </pic:nvPicPr>
                  <pic:blipFill>
                    <a:blip r:embed="rId10">
                      <a:lum bright="10000"/>
                    </a:blip>
                    <a:srcRect/>
                    <a:stretch>
                      <a:fillRect/>
                    </a:stretch>
                  </pic:blipFill>
                  <pic:spPr>
                    <a:xfrm rot="2230689">
                      <a:off x="0" y="0"/>
                      <a:ext cx="1439121" cy="2105660"/>
                    </a:xfrm>
                    <a:prstGeom prst="rect">
                      <a:avLst/>
                    </a:prstGeom>
                    <a:noFill/>
                    <a:ln w="9525">
                      <a:noFill/>
                      <a:miter lim="800000"/>
                      <a:headEnd/>
                      <a:tailEnd/>
                    </a:ln>
                  </pic:spPr>
                </pic:pic>
              </a:graphicData>
            </a:graphic>
          </wp:anchor>
        </w:drawing>
      </w: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Cs w:val="21"/>
        </w:rPr>
      </w:pPr>
      <w:r>
        <w:rPr>
          <w:rFonts w:hint="eastAsia" w:asciiTheme="minorEastAsia" w:hAnsiTheme="minorEastAsia"/>
          <w:b/>
          <w:szCs w:val="21"/>
        </w:rPr>
        <w:t>发明专利</w:t>
      </w: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r>
        <w:rPr>
          <w:rFonts w:hint="eastAsia" w:asciiTheme="minorEastAsia" w:hAnsiTheme="minorEastAsia"/>
          <w:b/>
          <w:szCs w:val="21"/>
        </w:rPr>
        <w:drawing>
          <wp:anchor distT="0" distB="0" distL="114300" distR="114300" simplePos="0" relativeHeight="251668480" behindDoc="0" locked="0" layoutInCell="1" allowOverlap="1">
            <wp:simplePos x="0" y="0"/>
            <wp:positionH relativeFrom="column">
              <wp:posOffset>3182620</wp:posOffset>
            </wp:positionH>
            <wp:positionV relativeFrom="paragraph">
              <wp:posOffset>-27305</wp:posOffset>
            </wp:positionV>
            <wp:extent cx="1446530" cy="2004695"/>
            <wp:effectExtent l="401955" t="226695" r="418465" b="245110"/>
            <wp:wrapNone/>
            <wp:docPr id="5" name="图片 3" descr="安徽省科学技术奖-鲁红典（个人）.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安徽省科学技术奖-鲁红典（个人）.tif"/>
                    <pic:cNvPicPr>
                      <a:picLocks noChangeAspect="1" noChangeArrowheads="1"/>
                    </pic:cNvPicPr>
                  </pic:nvPicPr>
                  <pic:blipFill>
                    <a:blip r:embed="rId11" cstate="print"/>
                    <a:srcRect l="6693" t="4462" r="5569" b="3777"/>
                    <a:stretch>
                      <a:fillRect/>
                    </a:stretch>
                  </pic:blipFill>
                  <pic:spPr>
                    <a:xfrm rot="1785076">
                      <a:off x="0" y="0"/>
                      <a:ext cx="1446742" cy="2004695"/>
                    </a:xfrm>
                    <a:prstGeom prst="rect">
                      <a:avLst/>
                    </a:prstGeom>
                    <a:noFill/>
                    <a:ln w="9525">
                      <a:noFill/>
                      <a:miter lim="800000"/>
                      <a:headEnd/>
                      <a:tailEnd/>
                    </a:ln>
                  </pic:spPr>
                </pic:pic>
              </a:graphicData>
            </a:graphic>
          </wp:anchor>
        </w:drawing>
      </w:r>
      <w:r>
        <w:rPr>
          <w:rFonts w:hint="eastAsia" w:asciiTheme="minorEastAsia" w:hAnsiTheme="minorEastAsia"/>
          <w:b/>
          <w:szCs w:val="21"/>
        </w:rPr>
        <w:drawing>
          <wp:anchor distT="0" distB="0" distL="114300" distR="114300" simplePos="0" relativeHeight="251667456" behindDoc="0" locked="0" layoutInCell="1" allowOverlap="1">
            <wp:simplePos x="0" y="0"/>
            <wp:positionH relativeFrom="column">
              <wp:posOffset>2620010</wp:posOffset>
            </wp:positionH>
            <wp:positionV relativeFrom="paragraph">
              <wp:posOffset>-209550</wp:posOffset>
            </wp:positionV>
            <wp:extent cx="1439545" cy="1939290"/>
            <wp:effectExtent l="170180" t="118110" r="180975" b="133350"/>
            <wp:wrapNone/>
            <wp:docPr id="908" name="图片 131" descr="2018重钙超细立式磨开发及其工业化应用关键技术-秦广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图片 131" descr="2018重钙超细立式磨开发及其工业化应用关键技术-秦广超"/>
                    <pic:cNvPicPr>
                      <a:picLocks noChangeAspect="1" noChangeArrowheads="1"/>
                    </pic:cNvPicPr>
                  </pic:nvPicPr>
                  <pic:blipFill>
                    <a:blip r:embed="rId12" cstate="print">
                      <a:lum bright="20000"/>
                    </a:blip>
                    <a:srcRect l="1801" t="2820"/>
                    <a:stretch>
                      <a:fillRect/>
                    </a:stretch>
                  </pic:blipFill>
                  <pic:spPr>
                    <a:xfrm rot="651897">
                      <a:off x="0" y="0"/>
                      <a:ext cx="1439545" cy="1939290"/>
                    </a:xfrm>
                    <a:prstGeom prst="rect">
                      <a:avLst/>
                    </a:prstGeom>
                    <a:noFill/>
                    <a:ln w="9525">
                      <a:noFill/>
                      <a:miter lim="800000"/>
                      <a:headEnd/>
                      <a:tailEnd/>
                    </a:ln>
                  </pic:spPr>
                </pic:pic>
              </a:graphicData>
            </a:graphic>
          </wp:anchor>
        </w:drawing>
      </w:r>
      <w:r>
        <w:rPr>
          <w:rFonts w:hint="eastAsia" w:asciiTheme="minorEastAsia" w:hAnsiTheme="minorEastAsia"/>
          <w:b/>
          <w:szCs w:val="21"/>
        </w:rPr>
        <w:drawing>
          <wp:anchor distT="0" distB="0" distL="114300" distR="114300" simplePos="0" relativeHeight="251666432" behindDoc="0" locked="0" layoutInCell="1" allowOverlap="1">
            <wp:simplePos x="0" y="0"/>
            <wp:positionH relativeFrom="column">
              <wp:posOffset>2008505</wp:posOffset>
            </wp:positionH>
            <wp:positionV relativeFrom="paragraph">
              <wp:posOffset>-254000</wp:posOffset>
            </wp:positionV>
            <wp:extent cx="1439545" cy="2087245"/>
            <wp:effectExtent l="0" t="0" r="8255" b="8255"/>
            <wp:wrapNone/>
            <wp:docPr id="905" name="图片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图片 0" descr="1.jpg"/>
                    <pic:cNvPicPr>
                      <a:picLocks noChangeAspect="1" noChangeArrowheads="1"/>
                    </pic:cNvPicPr>
                  </pic:nvPicPr>
                  <pic:blipFill>
                    <a:blip r:embed="rId13"/>
                    <a:srcRect l="4991" t="3575" r="5099" b="3575"/>
                    <a:stretch>
                      <a:fillRect/>
                    </a:stretch>
                  </pic:blipFill>
                  <pic:spPr>
                    <a:xfrm>
                      <a:off x="0" y="0"/>
                      <a:ext cx="1439545" cy="2087245"/>
                    </a:xfrm>
                    <a:prstGeom prst="rect">
                      <a:avLst/>
                    </a:prstGeom>
                    <a:noFill/>
                    <a:ln w="9525">
                      <a:noFill/>
                      <a:miter lim="800000"/>
                      <a:headEnd/>
                      <a:tailEnd/>
                    </a:ln>
                  </pic:spPr>
                </pic:pic>
              </a:graphicData>
            </a:graphic>
          </wp:anchor>
        </w:drawing>
      </w:r>
      <w:r>
        <w:rPr>
          <w:rFonts w:hint="eastAsia" w:asciiTheme="minorEastAsia" w:hAnsiTheme="minorEastAsia"/>
          <w:b/>
          <w:szCs w:val="21"/>
        </w:rPr>
        <w:drawing>
          <wp:anchor distT="0" distB="0" distL="114300" distR="114300" simplePos="0" relativeHeight="251665408" behindDoc="0" locked="0" layoutInCell="1" allowOverlap="1">
            <wp:simplePos x="0" y="0"/>
            <wp:positionH relativeFrom="column">
              <wp:posOffset>1235710</wp:posOffset>
            </wp:positionH>
            <wp:positionV relativeFrom="paragraph">
              <wp:posOffset>-169545</wp:posOffset>
            </wp:positionV>
            <wp:extent cx="1439545" cy="2065655"/>
            <wp:effectExtent l="457200" t="226060" r="465455" b="241935"/>
            <wp:wrapNone/>
            <wp:docPr id="903" name="图片 56" descr="F:\100dpi证件扫描\2012安徽省科技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56" descr="F:\100dpi证件扫描\2012安徽省科技奖.jpg"/>
                    <pic:cNvPicPr>
                      <a:picLocks noChangeAspect="1" noChangeArrowheads="1"/>
                    </pic:cNvPicPr>
                  </pic:nvPicPr>
                  <pic:blipFill>
                    <a:blip r:embed="rId14" cstate="print"/>
                    <a:srcRect l="3336" t="3130" r="4623" b="2666"/>
                    <a:stretch>
                      <a:fillRect/>
                    </a:stretch>
                  </pic:blipFill>
                  <pic:spPr>
                    <a:xfrm rot="19539430">
                      <a:off x="0" y="0"/>
                      <a:ext cx="1439545" cy="2065655"/>
                    </a:xfrm>
                    <a:prstGeom prst="rect">
                      <a:avLst/>
                    </a:prstGeom>
                    <a:noFill/>
                    <a:ln w="9525">
                      <a:noFill/>
                      <a:miter lim="800000"/>
                      <a:headEnd/>
                      <a:tailEnd/>
                    </a:ln>
                  </pic:spPr>
                </pic:pic>
              </a:graphicData>
            </a:graphic>
          </wp:anchor>
        </w:drawing>
      </w: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p>
    <w:p>
      <w:pPr>
        <w:jc w:val="center"/>
        <w:rPr>
          <w:rFonts w:asciiTheme="minorEastAsia" w:hAnsiTheme="minorEastAsia"/>
          <w:b/>
          <w:szCs w:val="21"/>
        </w:rPr>
      </w:pPr>
      <w:r>
        <w:rPr>
          <w:rFonts w:hint="eastAsia" w:asciiTheme="minorEastAsia" w:hAnsiTheme="minorEastAsia"/>
          <w:b/>
          <w:szCs w:val="21"/>
        </w:rPr>
        <w:t>获奖证书</w:t>
      </w:r>
    </w:p>
    <w:p>
      <w:pPr>
        <w:rPr>
          <w:b/>
          <w:sz w:val="28"/>
          <w:szCs w:val="28"/>
        </w:rPr>
      </w:pPr>
      <w:r>
        <w:rPr>
          <w:rFonts w:hint="eastAsia"/>
          <w:b/>
          <w:sz w:val="28"/>
          <w:szCs w:val="28"/>
        </w:rPr>
        <w:t>四、科研合作与交流</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与德国亚琛工业大学、德国毕克化学公司、合肥国轩高科动力能源股份有限公司、安徽中鼎控股(集团)股份有限公司和安徽新大陆特种涂料有限公司等组成绿色涂料高性能助剂技术创新与应用群体，还正在与200多家相关企业开展不同形式的交流与项目合作。</w:t>
      </w:r>
    </w:p>
    <w:p>
      <w:pPr>
        <w:jc w:val="center"/>
      </w:pPr>
      <w:r>
        <w:drawing>
          <wp:inline distT="0" distB="0" distL="0" distR="0">
            <wp:extent cx="2160270" cy="1511935"/>
            <wp:effectExtent l="0" t="0" r="11430" b="12065"/>
            <wp:docPr id="8" name="图片 16" descr="IMG_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descr="IMG_4008.JPG"/>
                    <pic:cNvPicPr>
                      <a:picLocks noChangeAspect="1"/>
                    </pic:cNvPicPr>
                  </pic:nvPicPr>
                  <pic:blipFill>
                    <a:blip r:embed="rId15" cstate="print">
                      <a:lum bright="10000"/>
                    </a:blip>
                    <a:srcRect t="3722"/>
                    <a:stretch>
                      <a:fillRect/>
                    </a:stretch>
                  </pic:blipFill>
                  <pic:spPr>
                    <a:xfrm>
                      <a:off x="0" y="0"/>
                      <a:ext cx="2160270" cy="1512000"/>
                    </a:xfrm>
                    <a:prstGeom prst="rect">
                      <a:avLst/>
                    </a:prstGeom>
                    <a:ln>
                      <a:noFill/>
                    </a:ln>
                    <a:effectLst/>
                  </pic:spPr>
                </pic:pic>
              </a:graphicData>
            </a:graphic>
          </wp:inline>
        </w:drawing>
      </w:r>
      <w:r>
        <w:rPr>
          <w:rFonts w:hint="eastAsia"/>
        </w:rPr>
        <w:t xml:space="preserve">       </w:t>
      </w:r>
      <w:r>
        <w:rPr>
          <w:rFonts w:hint="eastAsia"/>
        </w:rPr>
        <w:drawing>
          <wp:inline distT="0" distB="0" distL="0" distR="0">
            <wp:extent cx="2121535" cy="1511935"/>
            <wp:effectExtent l="0" t="0" r="12065" b="12065"/>
            <wp:docPr id="9" name="图片 32" descr="国轩-41179c93e8e76b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2" descr="国轩-41179c93e8e76b6b.jpg"/>
                    <pic:cNvPicPr>
                      <a:picLocks noChangeAspect="1"/>
                    </pic:cNvPicPr>
                  </pic:nvPicPr>
                  <pic:blipFill>
                    <a:blip r:embed="rId16" cstate="print"/>
                    <a:stretch>
                      <a:fillRect/>
                    </a:stretch>
                  </pic:blipFill>
                  <pic:spPr>
                    <a:xfrm>
                      <a:off x="0" y="0"/>
                      <a:ext cx="2122040" cy="1512000"/>
                    </a:xfrm>
                    <a:prstGeom prst="rect">
                      <a:avLst/>
                    </a:prstGeom>
                  </pic:spPr>
                </pic:pic>
              </a:graphicData>
            </a:graphic>
          </wp:inline>
        </w:drawing>
      </w:r>
    </w:p>
    <w:p>
      <w:pPr>
        <w:ind w:firstLine="211" w:firstLineChars="100"/>
        <w:rPr>
          <w:b/>
          <w:szCs w:val="21"/>
        </w:rPr>
      </w:pPr>
      <w:r>
        <w:rPr>
          <w:rFonts w:hint="eastAsia"/>
          <w:b/>
          <w:szCs w:val="21"/>
        </w:rPr>
        <w:t>德国毕克化学来中心交流助剂产学研合作    合肥国轩高科来中心交流助剂产学研合作</w:t>
      </w:r>
    </w:p>
    <w:p>
      <w:pPr>
        <w:rPr>
          <w:b/>
          <w:sz w:val="28"/>
          <w:szCs w:val="28"/>
        </w:rPr>
      </w:pPr>
      <w:r>
        <w:rPr>
          <w:rFonts w:hint="eastAsia"/>
          <w:b/>
          <w:sz w:val="28"/>
          <w:szCs w:val="28"/>
        </w:rPr>
        <w:t>五、大型仪器与设备</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傅立叶变换红外光谱仪、紫外可见近红外分光光度计、高灵敏度Zeta电位仪、差示扫描量热仪、电化学工作站、微型三角度光泽仪 µ、Taber耐磨耗试验机、RCA耐磨试验机、马丁代尔抗划伤仪、电子万能试验机、接触角测量仪、盐雾试验箱、QUV紫外光加速老化试验机、震荡分散机以及7套中试系统等。</w:t>
      </w:r>
    </w:p>
    <w:p>
      <w:pPr>
        <w:jc w:val="center"/>
      </w:pPr>
      <w:r>
        <w:drawing>
          <wp:inline distT="0" distB="0" distL="0" distR="0">
            <wp:extent cx="971550" cy="711200"/>
            <wp:effectExtent l="0" t="0" r="0" b="12700"/>
            <wp:docPr id="3" name="图片 1" descr="C:\Users\50294\AppData\Local\Temp\WeChat Files\639592057091687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50294\AppData\Local\Temp\WeChat Files\639592057091687355.jpg"/>
                    <pic:cNvPicPr>
                      <a:picLocks noChangeAspect="1" noChangeArrowheads="1"/>
                    </pic:cNvPicPr>
                  </pic:nvPicPr>
                  <pic:blipFill>
                    <a:blip r:embed="rId17" cstate="print"/>
                    <a:srcRect/>
                    <a:stretch>
                      <a:fillRect/>
                    </a:stretch>
                  </pic:blipFill>
                  <pic:spPr>
                    <a:xfrm>
                      <a:off x="0" y="0"/>
                      <a:ext cx="976651" cy="714934"/>
                    </a:xfrm>
                    <a:prstGeom prst="rect">
                      <a:avLst/>
                    </a:prstGeom>
                    <a:noFill/>
                    <a:ln w="9525">
                      <a:noFill/>
                      <a:miter lim="800000"/>
                      <a:headEnd/>
                      <a:tailEnd/>
                    </a:ln>
                  </pic:spPr>
                </pic:pic>
              </a:graphicData>
            </a:graphic>
          </wp:inline>
        </w:drawing>
      </w:r>
      <w:r>
        <w:drawing>
          <wp:inline distT="0" distB="0" distL="0" distR="0">
            <wp:extent cx="971550" cy="719455"/>
            <wp:effectExtent l="0" t="0" r="0" b="4445"/>
            <wp:docPr id="6" name="图片 27" descr="IMG_3200.JPG"/>
            <wp:cNvGraphicFramePr/>
            <a:graphic xmlns:a="http://schemas.openxmlformats.org/drawingml/2006/main">
              <a:graphicData uri="http://schemas.openxmlformats.org/drawingml/2006/picture">
                <pic:pic xmlns:pic="http://schemas.openxmlformats.org/drawingml/2006/picture">
                  <pic:nvPicPr>
                    <pic:cNvPr id="6" name="图片 27" descr="IMG_3200.JPG"/>
                    <pic:cNvPicPr/>
                  </pic:nvPicPr>
                  <pic:blipFill>
                    <a:blip r:embed="rId18" cstate="print"/>
                    <a:srcRect l="3684" t="23427" r="20106"/>
                    <a:stretch>
                      <a:fillRect/>
                    </a:stretch>
                  </pic:blipFill>
                  <pic:spPr>
                    <a:xfrm>
                      <a:off x="0" y="0"/>
                      <a:ext cx="972000" cy="719667"/>
                    </a:xfrm>
                    <a:prstGeom prst="rect">
                      <a:avLst/>
                    </a:prstGeom>
                  </pic:spPr>
                </pic:pic>
              </a:graphicData>
            </a:graphic>
          </wp:inline>
        </w:drawing>
      </w:r>
      <w:r>
        <w:drawing>
          <wp:inline distT="0" distB="0" distL="0" distR="0">
            <wp:extent cx="971550" cy="719455"/>
            <wp:effectExtent l="0" t="0" r="0" b="4445"/>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noChangeArrowheads="1"/>
                    </pic:cNvPicPr>
                  </pic:nvPicPr>
                  <pic:blipFill>
                    <a:blip r:embed="rId19" cstate="print"/>
                    <a:srcRect/>
                    <a:stretch>
                      <a:fillRect/>
                    </a:stretch>
                  </pic:blipFill>
                  <pic:spPr>
                    <a:xfrm>
                      <a:off x="0" y="0"/>
                      <a:ext cx="972000" cy="719667"/>
                    </a:xfrm>
                    <a:prstGeom prst="rect">
                      <a:avLst/>
                    </a:prstGeom>
                    <a:noFill/>
                    <a:ln w="9525">
                      <a:noFill/>
                      <a:miter lim="800000"/>
                      <a:headEnd/>
                      <a:tailEnd/>
                    </a:ln>
                  </pic:spPr>
                </pic:pic>
              </a:graphicData>
            </a:graphic>
          </wp:inline>
        </w:drawing>
      </w:r>
      <w:r>
        <w:rPr>
          <w:rFonts w:hint="eastAsia"/>
        </w:rPr>
        <w:drawing>
          <wp:inline distT="0" distB="0" distL="0" distR="0">
            <wp:extent cx="971550" cy="719455"/>
            <wp:effectExtent l="0" t="0" r="0" b="4445"/>
            <wp:docPr id="7" name="图片 24" descr="IMG_3298.JPG"/>
            <wp:cNvGraphicFramePr/>
            <a:graphic xmlns:a="http://schemas.openxmlformats.org/drawingml/2006/main">
              <a:graphicData uri="http://schemas.openxmlformats.org/drawingml/2006/picture">
                <pic:pic xmlns:pic="http://schemas.openxmlformats.org/drawingml/2006/picture">
                  <pic:nvPicPr>
                    <pic:cNvPr id="7" name="图片 24" descr="IMG_3298.JPG"/>
                    <pic:cNvPicPr/>
                  </pic:nvPicPr>
                  <pic:blipFill>
                    <a:blip r:embed="rId20" cstate="print"/>
                    <a:srcRect l="7290" t="14534" r="6218"/>
                    <a:stretch>
                      <a:fillRect/>
                    </a:stretch>
                  </pic:blipFill>
                  <pic:spPr>
                    <a:xfrm>
                      <a:off x="0" y="0"/>
                      <a:ext cx="972000" cy="719667"/>
                    </a:xfrm>
                    <a:prstGeom prst="rect">
                      <a:avLst/>
                    </a:prstGeom>
                  </pic:spPr>
                </pic:pic>
              </a:graphicData>
            </a:graphic>
          </wp:inline>
        </w:drawing>
      </w:r>
      <w:r>
        <w:drawing>
          <wp:inline distT="0" distB="0" distL="0" distR="0">
            <wp:extent cx="971550" cy="719455"/>
            <wp:effectExtent l="0" t="0" r="0" b="4445"/>
            <wp:docPr id="13" name="图片 10" descr="C:\Users\50294\Documents\Tencent Files\502940167\Image\C2C\9A8838E25B0883FC552035F4D5B9E4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C:\Users\50294\Documents\Tencent Files\502940167\Image\C2C\9A8838E25B0883FC552035F4D5B9E4DD.jpg"/>
                    <pic:cNvPicPr>
                      <a:picLocks noChangeAspect="1" noChangeArrowheads="1"/>
                    </pic:cNvPicPr>
                  </pic:nvPicPr>
                  <pic:blipFill>
                    <a:blip r:embed="rId21" cstate="print">
                      <a:lum bright="10000"/>
                    </a:blip>
                    <a:srcRect t="13229"/>
                    <a:stretch>
                      <a:fillRect/>
                    </a:stretch>
                  </pic:blipFill>
                  <pic:spPr>
                    <a:xfrm>
                      <a:off x="0" y="0"/>
                      <a:ext cx="972000" cy="719667"/>
                    </a:xfrm>
                    <a:prstGeom prst="rect">
                      <a:avLst/>
                    </a:prstGeom>
                    <a:noFill/>
                    <a:ln w="9525">
                      <a:noFill/>
                      <a:miter lim="800000"/>
                      <a:headEnd/>
                      <a:tailEnd/>
                    </a:ln>
                  </pic:spPr>
                </pic:pic>
              </a:graphicData>
            </a:graphic>
          </wp:inline>
        </w:drawing>
      </w:r>
    </w:p>
    <w:p>
      <w:pPr>
        <w:ind w:firstLine="527" w:firstLineChars="250"/>
        <w:jc w:val="center"/>
        <w:rPr>
          <w:rFonts w:asciiTheme="minorEastAsia" w:hAnsiTheme="minorEastAsia"/>
          <w:b/>
          <w:sz w:val="28"/>
          <w:szCs w:val="28"/>
        </w:rPr>
      </w:pPr>
      <w:r>
        <w:rPr>
          <w:rFonts w:hint="eastAsia"/>
          <w:b/>
        </w:rPr>
        <w:t>中心科研设备</w:t>
      </w:r>
    </w:p>
    <w:p>
      <w:pPr>
        <w:rPr>
          <w:rFonts w:asciiTheme="minorEastAsia" w:hAnsiTheme="minorEastAsia"/>
          <w:b/>
          <w:sz w:val="28"/>
          <w:szCs w:val="28"/>
        </w:rPr>
      </w:pPr>
      <w:r>
        <w:rPr>
          <w:rFonts w:hint="eastAsia" w:asciiTheme="minorEastAsia" w:hAnsiTheme="minorEastAsia"/>
          <w:b/>
          <w:sz w:val="28"/>
          <w:szCs w:val="28"/>
        </w:rPr>
        <w:t>六、科研特色</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通过对各种组成与形态结构的微纳米材料进行表面功能化设计与加工处理，得到具有不同性能的助剂产品，主要解决水性、无溶剂和光固化绿色涂料大规模化使用的共性关键技术难题。</w:t>
      </w:r>
    </w:p>
    <w:p>
      <w:pPr>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建有1000t/a全自动化绿色涂料高性能助剂示范线，掌握9个系列16种高性能助剂产业化生产技术。</w:t>
      </w:r>
    </w:p>
    <w:p>
      <w:pPr>
        <w:jc w:val="center"/>
      </w:pPr>
      <w:r>
        <w:drawing>
          <wp:inline distT="0" distB="0" distL="0" distR="0">
            <wp:extent cx="2879725" cy="1569720"/>
            <wp:effectExtent l="0" t="0" r="15875" b="1143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2" cstate="print"/>
                    <a:stretch>
                      <a:fillRect/>
                    </a:stretch>
                  </pic:blipFill>
                  <pic:spPr>
                    <a:xfrm>
                      <a:off x="0" y="0"/>
                      <a:ext cx="2880000" cy="1570294"/>
                    </a:xfrm>
                    <a:prstGeom prst="rect">
                      <a:avLst/>
                    </a:prstGeom>
                  </pic:spPr>
                </pic:pic>
              </a:graphicData>
            </a:graphic>
          </wp:inline>
        </w:drawing>
      </w:r>
    </w:p>
    <w:p>
      <w:pPr>
        <w:jc w:val="center"/>
        <w:rPr>
          <w:b/>
        </w:rPr>
      </w:pPr>
      <w:r>
        <w:rPr>
          <w:rFonts w:hint="eastAsia"/>
          <w:b/>
        </w:rPr>
        <w:t>中心开发部分助剂产品</w:t>
      </w:r>
    </w:p>
    <w:p>
      <w:pPr>
        <w:pStyle w:val="4"/>
        <w:numPr>
          <w:ilvl w:val="0"/>
          <w:numId w:val="0"/>
        </w:numPr>
        <w:spacing w:line="360" w:lineRule="exact"/>
        <w:ind w:leftChars="0"/>
        <w:rPr>
          <w:sz w:val="24"/>
          <w:szCs w:val="24"/>
        </w:rPr>
      </w:pPr>
    </w:p>
    <w:p>
      <w:pPr>
        <w:jc w:val="center"/>
        <w:rPr>
          <w:b/>
          <w:sz w:val="28"/>
          <w:szCs w:val="28"/>
        </w:rPr>
      </w:pPr>
    </w:p>
    <w:p>
      <w:pPr>
        <w:jc w:val="center"/>
        <w:rPr>
          <w:b/>
          <w:sz w:val="28"/>
          <w:szCs w:val="28"/>
        </w:rPr>
      </w:pPr>
    </w:p>
    <w:p>
      <w:pPr>
        <w:jc w:val="center"/>
        <w:rPr>
          <w:b/>
          <w:sz w:val="28"/>
          <w:szCs w:val="28"/>
        </w:rPr>
      </w:pPr>
      <w:r>
        <w:rPr>
          <w:b/>
          <w:sz w:val="28"/>
          <w:szCs w:val="28"/>
        </w:rPr>
        <w:t>全自动</w:t>
      </w:r>
      <w:r>
        <w:rPr>
          <w:rFonts w:hint="eastAsia"/>
          <w:b/>
          <w:sz w:val="28"/>
          <w:szCs w:val="28"/>
        </w:rPr>
        <w:t>化绿色涂料高性能助剂</w:t>
      </w:r>
      <w:r>
        <w:rPr>
          <w:rFonts w:ascii="Times New Roman" w:cs="Times New Roman"/>
          <w:b/>
          <w:bCs/>
          <w:sz w:val="28"/>
          <w:szCs w:val="28"/>
        </w:rPr>
        <w:t>示范线</w:t>
      </w:r>
      <w:r>
        <w:rPr>
          <w:rFonts w:hint="eastAsia"/>
          <w:b/>
          <w:sz w:val="28"/>
          <w:szCs w:val="28"/>
        </w:rPr>
        <w:t>简介</w:t>
      </w:r>
    </w:p>
    <w:p>
      <w:pPr>
        <w:jc w:val="center"/>
        <w:rPr>
          <w:b/>
          <w:sz w:val="28"/>
          <w:szCs w:val="28"/>
        </w:rPr>
      </w:pPr>
    </w:p>
    <w:p>
      <w:pPr>
        <w:jc w:val="center"/>
        <w:rPr>
          <w:b/>
          <w:sz w:val="28"/>
          <w:szCs w:val="28"/>
        </w:rPr>
      </w:pPr>
      <w:r>
        <w:rPr>
          <w:b/>
          <w:sz w:val="28"/>
          <w:szCs w:val="28"/>
        </w:rPr>
        <w:drawing>
          <wp:inline distT="0" distB="0" distL="0" distR="0">
            <wp:extent cx="5345430" cy="2533650"/>
            <wp:effectExtent l="156845" t="118745" r="346075" b="3384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23" cstate="print"/>
                    <a:srcRect l="5181"/>
                    <a:stretch>
                      <a:fillRect/>
                    </a:stretch>
                  </pic:blipFill>
                  <pic:spPr>
                    <a:xfrm>
                      <a:off x="0" y="0"/>
                      <a:ext cx="5344163" cy="2533050"/>
                    </a:xfrm>
                    <a:prstGeom prst="rect">
                      <a:avLst/>
                    </a:prstGeom>
                    <a:ln>
                      <a:solidFill>
                        <a:srgbClr val="F1FFE5"/>
                      </a:solidFill>
                    </a:ln>
                    <a:effectLst>
                      <a:outerShdw blurRad="292100" dist="139700" dir="2700000" algn="tl" rotWithShape="0">
                        <a:srgbClr val="333333">
                          <a:alpha val="65000"/>
                        </a:srgbClr>
                      </a:outerShdw>
                    </a:effectLst>
                  </pic:spPr>
                </pic:pic>
              </a:graphicData>
            </a:graphic>
          </wp:inline>
        </w:drawing>
      </w:r>
    </w:p>
    <w:p>
      <w:pPr>
        <w:jc w:val="center"/>
        <w:rPr>
          <w:rFonts w:ascii="Times New Roman" w:hAnsi="Times New Roman" w:cs="Times New Roman"/>
          <w:b/>
        </w:rPr>
      </w:pPr>
      <w:r>
        <w:rPr>
          <w:rFonts w:ascii="Times New Roman" w:hAnsi="Times New Roman" w:cs="Times New Roman"/>
          <w:b/>
          <w:bCs/>
        </w:rPr>
        <w:t>1000t/a</w:t>
      </w:r>
      <w:r>
        <w:rPr>
          <w:rFonts w:ascii="Times New Roman" w:cs="Times New Roman"/>
          <w:b/>
          <w:bCs/>
        </w:rPr>
        <w:t>全自动化绿色涂料高性能助剂示范线</w:t>
      </w:r>
      <w:r>
        <w:rPr>
          <w:rFonts w:ascii="Times New Roman" w:hAnsi="Times New Roman" w:cs="Times New Roman"/>
          <w:b/>
          <w:bCs/>
        </w:rPr>
        <w:t xml:space="preserve"> </w:t>
      </w:r>
    </w:p>
    <w:p>
      <w:pPr>
        <w:jc w:val="center"/>
        <w:rPr>
          <w:b/>
        </w:rPr>
      </w:pPr>
    </w:p>
    <w:p>
      <w:pPr>
        <w:ind w:firstLine="420" w:firstLineChars="200"/>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全自动化绿色涂料高性能助剂示范线集成了超高速分散和纳米尺度研磨模块，整个加工过程实现全自动化控制，并外延连接超声分散模块，</w:t>
      </w:r>
      <w:bookmarkStart w:id="0" w:name="_GoBack"/>
      <w:bookmarkEnd w:id="0"/>
      <w:r>
        <w:rPr>
          <w:rFonts w:hint="eastAsia" w:asciiTheme="minorHAnsi" w:hAnsiTheme="minorHAnsi" w:eastAsiaTheme="minorEastAsia" w:cstheme="minorBidi"/>
          <w:kern w:val="2"/>
          <w:sz w:val="24"/>
          <w:szCs w:val="24"/>
          <w:lang w:val="en-US" w:eastAsia="zh-CN" w:bidi="ar-SA"/>
        </w:rPr>
        <w:t>能够实现对各种组成与形态结构的纳米材料进行高效表面改性与分散，得到具有不同性能或功能的绿色涂料高性能助剂产品，主要解决纳米材料在(水性、无溶剂和光固化)绿色涂料、新能源车辆/3C锂离子电池中大规模化使用的关键技术难题，不仅满足中心产学研需求，还可以进一步提高助剂开发水平和能力，并支撑粉体材料科学与工程、无机非金属材料工程等专业高层次应用型人才的培养。</w:t>
      </w:r>
    </w:p>
    <w:p>
      <w:pPr>
        <w:pStyle w:val="4"/>
        <w:numPr>
          <w:ilvl w:val="0"/>
          <w:numId w:val="0"/>
        </w:numPr>
        <w:spacing w:line="360" w:lineRule="exact"/>
        <w:ind w:leftChars="0"/>
        <w:rPr>
          <w:rFonts w:hint="default" w:eastAsiaTheme="minorEastAsia"/>
          <w:sz w:val="24"/>
          <w:szCs w:val="24"/>
          <w:lang w:val="en-US" w:eastAsia="zh-CN"/>
        </w:rPr>
      </w:pPr>
    </w:p>
    <w:p>
      <w:pPr>
        <w:pStyle w:val="4"/>
        <w:numPr>
          <w:ilvl w:val="0"/>
          <w:numId w:val="0"/>
        </w:numPr>
        <w:spacing w:line="360" w:lineRule="exact"/>
        <w:ind w:leftChars="0"/>
        <w:rPr>
          <w:rFonts w:hint="default" w:eastAsia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61292"/>
    <w:multiLevelType w:val="singleLevel"/>
    <w:tmpl w:val="AC461292"/>
    <w:lvl w:ilvl="0" w:tentative="0">
      <w:start w:val="1"/>
      <w:numFmt w:val="decimal"/>
      <w:suff w:val="nothing"/>
      <w:lvlText w:val="（%1）"/>
      <w:lvlJc w:val="left"/>
    </w:lvl>
  </w:abstractNum>
  <w:abstractNum w:abstractNumId="1">
    <w:nsid w:val="086F33DB"/>
    <w:multiLevelType w:val="singleLevel"/>
    <w:tmpl w:val="086F33DB"/>
    <w:lvl w:ilvl="0" w:tentative="0">
      <w:start w:val="1"/>
      <w:numFmt w:val="decimal"/>
      <w:suff w:val="nothing"/>
      <w:lvlText w:val="（%1）"/>
      <w:lvlJc w:val="left"/>
    </w:lvl>
  </w:abstractNum>
  <w:abstractNum w:abstractNumId="2">
    <w:nsid w:val="44062D2A"/>
    <w:multiLevelType w:val="singleLevel"/>
    <w:tmpl w:val="44062D2A"/>
    <w:lvl w:ilvl="0" w:tentative="0">
      <w:start w:val="1"/>
      <w:numFmt w:val="decimal"/>
      <w:suff w:val="nothing"/>
      <w:lvlText w:val="（%1）"/>
      <w:lvlJc w:val="left"/>
    </w:lvl>
  </w:abstractNum>
  <w:abstractNum w:abstractNumId="3">
    <w:nsid w:val="4DCE21F1"/>
    <w:multiLevelType w:val="multilevel"/>
    <w:tmpl w:val="4DCE21F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8882D22"/>
    <w:multiLevelType w:val="multilevel"/>
    <w:tmpl w:val="58882D22"/>
    <w:lvl w:ilvl="0" w:tentative="0">
      <w:start w:val="1"/>
      <w:numFmt w:val="decimal"/>
      <w:lvlText w:val="（%1）"/>
      <w:lvlJc w:val="left"/>
      <w:pPr>
        <w:ind w:left="720" w:hanging="72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5">
    <w:nsid w:val="6130CA93"/>
    <w:multiLevelType w:val="singleLevel"/>
    <w:tmpl w:val="6130CA93"/>
    <w:lvl w:ilvl="0" w:tentative="0">
      <w:start w:val="1"/>
      <w:numFmt w:val="decimal"/>
      <w:suff w:val="nothing"/>
      <w:lvlText w:val="（%1）"/>
      <w:lvlJc w:val="left"/>
      <w:pPr>
        <w:ind w:left="-210"/>
      </w:p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2YTA4YTEwOTlmZmExZGNkZDIxYzYyMDZkNGQxNDUifQ=="/>
  </w:docVars>
  <w:rsids>
    <w:rsidRoot w:val="00FC3697"/>
    <w:rsid w:val="00197378"/>
    <w:rsid w:val="00200BAF"/>
    <w:rsid w:val="00792D23"/>
    <w:rsid w:val="00CC5BC3"/>
    <w:rsid w:val="00ED00A8"/>
    <w:rsid w:val="00FC3697"/>
    <w:rsid w:val="2AD86EC8"/>
    <w:rsid w:val="3FB7569B"/>
    <w:rsid w:val="45B5626C"/>
    <w:rsid w:val="64826062"/>
    <w:rsid w:val="7B29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jpe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2208</Words>
  <Characters>2295</Characters>
  <Lines>2</Lines>
  <Paragraphs>1</Paragraphs>
  <TotalTime>186</TotalTime>
  <ScaleCrop>false</ScaleCrop>
  <LinksUpToDate>false</LinksUpToDate>
  <CharactersWithSpaces>2315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2022-05-23T06:54:00Z</dcterms:created>
  <dc:creator>acer</dc:creator>
  <cp:lastModifiedBy>Administrator</cp:lastModifiedBy>
  <dcterms:modified xsi:type="dcterms:W3CDTF">2022-05-24T06:18:27Z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4D01BC4F625D443F8D3DFA6DA933055C</vt:lpwstr>
  </property>
</Properties>
</file>